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975" w:lineRule="atLeast"/>
        <w:jc w:val="center"/>
        <w:rPr>
          <w:rFonts w:hint="default" w:ascii="微软雅黑" w:hAnsi="微软雅黑" w:eastAsia="微软雅黑" w:cs="微软雅黑"/>
          <w:b w:val="0"/>
          <w:color w:val="006EAB"/>
          <w:spacing w:val="30"/>
          <w:sz w:val="42"/>
          <w:szCs w:val="42"/>
          <w:shd w:val="clear" w:color="auto" w:fill="FFFFFF"/>
        </w:rPr>
      </w:pPr>
    </w:p>
    <w:p>
      <w:pPr>
        <w:pStyle w:val="2"/>
        <w:widowControl/>
        <w:shd w:val="clear" w:color="auto" w:fill="FFFFFF"/>
        <w:spacing w:beforeAutospacing="0" w:afterAutospacing="0" w:line="975" w:lineRule="atLeast"/>
        <w:jc w:val="center"/>
        <w:rPr>
          <w:rFonts w:hint="default" w:ascii="微软雅黑" w:hAnsi="微软雅黑" w:eastAsia="微软雅黑" w:cs="微软雅黑"/>
          <w:b w:val="0"/>
          <w:color w:val="006EAB"/>
          <w:spacing w:val="30"/>
          <w:sz w:val="42"/>
          <w:szCs w:val="42"/>
          <w:shd w:val="clear" w:color="auto" w:fill="FFFFFF"/>
        </w:rPr>
      </w:pPr>
    </w:p>
    <w:p>
      <w:pPr>
        <w:pStyle w:val="2"/>
        <w:widowControl/>
        <w:shd w:val="clear" w:color="auto" w:fill="FFFFFF"/>
        <w:spacing w:beforeAutospacing="0" w:afterAutospacing="0" w:line="975" w:lineRule="atLeast"/>
        <w:jc w:val="center"/>
        <w:rPr>
          <w:rFonts w:hint="default" w:ascii="微软雅黑" w:hAnsi="微软雅黑" w:eastAsia="微软雅黑" w:cs="微软雅黑"/>
          <w:b w:val="0"/>
          <w:color w:val="006EAB"/>
          <w:spacing w:val="30"/>
          <w:sz w:val="42"/>
          <w:szCs w:val="42"/>
          <w:shd w:val="clear" w:color="auto" w:fill="FFFFFF"/>
        </w:rPr>
      </w:pPr>
    </w:p>
    <w:p>
      <w:pPr>
        <w:pStyle w:val="2"/>
        <w:widowControl/>
        <w:shd w:val="clear" w:color="auto" w:fill="FFFFFF"/>
        <w:spacing w:beforeAutospacing="0" w:afterAutospacing="0" w:line="975" w:lineRule="atLeast"/>
        <w:jc w:val="center"/>
        <w:rPr>
          <w:rFonts w:hint="default" w:ascii="方正小标宋_GBK" w:hAnsi="方正小标宋_GBK" w:eastAsia="方正小标宋_GBK" w:cs="方正小标宋_GBK"/>
          <w:bCs/>
          <w:spacing w:val="30"/>
          <w:sz w:val="52"/>
          <w:szCs w:val="52"/>
          <w:shd w:val="clear" w:color="auto" w:fill="FFFFFF"/>
        </w:rPr>
      </w:pPr>
      <w:r>
        <w:rPr>
          <w:rFonts w:ascii="方正小标宋_GBK" w:hAnsi="方正小标宋_GBK" w:eastAsia="方正小标宋_GBK" w:cs="方正小标宋_GBK"/>
          <w:bCs/>
          <w:spacing w:val="30"/>
          <w:sz w:val="52"/>
          <w:szCs w:val="52"/>
          <w:shd w:val="clear" w:color="auto" w:fill="FFFFFF"/>
        </w:rPr>
        <w:t>衡阳县长安乡</w:t>
      </w:r>
      <w:r>
        <w:rPr>
          <w:rFonts w:cs="宋体"/>
          <w:bCs/>
          <w:spacing w:val="30"/>
          <w:sz w:val="52"/>
          <w:szCs w:val="52"/>
          <w:shd w:val="clear" w:color="auto" w:fill="FFFFFF"/>
        </w:rPr>
        <w:t>2019</w:t>
      </w:r>
      <w:r>
        <w:rPr>
          <w:rFonts w:ascii="方正小标宋_GBK" w:hAnsi="方正小标宋_GBK" w:eastAsia="方正小标宋_GBK" w:cs="方正小标宋_GBK"/>
          <w:bCs/>
          <w:spacing w:val="30"/>
          <w:sz w:val="52"/>
          <w:szCs w:val="52"/>
          <w:shd w:val="clear" w:color="auto" w:fill="FFFFFF"/>
        </w:rPr>
        <w:t>年度部门决算</w:t>
      </w: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微软雅黑" w:hAnsi="微软雅黑" w:eastAsia="微软雅黑" w:cs="微软雅黑"/>
          <w:color w:val="006EAB"/>
          <w:spacing w:val="30"/>
          <w:sz w:val="42"/>
          <w:szCs w:val="42"/>
          <w:shd w:val="clear" w:color="auto" w:fill="FFFFFF"/>
        </w:rPr>
      </w:pPr>
    </w:p>
    <w:p>
      <w:pPr>
        <w:rPr>
          <w:rFonts w:ascii="仿宋" w:hAnsi="仿宋" w:eastAsia="仿宋" w:cs="仿宋"/>
          <w:sz w:val="32"/>
          <w:szCs w:val="32"/>
          <w:shd w:val="clear" w:color="auto" w:fill="FFFFFF"/>
        </w:rPr>
      </w:pPr>
    </w:p>
    <w:p>
      <w:pPr>
        <w:widowControl/>
        <w:shd w:val="clear" w:color="auto" w:fill="FFFFFF"/>
        <w:jc w:val="center"/>
        <w:rPr>
          <w:rFonts w:ascii="方正小标宋_GBK" w:hAnsi="方正小标宋_GBK" w:eastAsia="方正小标宋_GBK" w:cs="方正小标宋_GBK"/>
          <w:color w:val="333333"/>
          <w:sz w:val="52"/>
          <w:szCs w:val="52"/>
        </w:rPr>
      </w:pPr>
      <w:r>
        <w:rPr>
          <w:rFonts w:hint="eastAsia" w:ascii="方正小标宋_GBK" w:hAnsi="方正小标宋_GBK" w:eastAsia="方正小标宋_GBK" w:cs="方正小标宋_GBK"/>
          <w:color w:val="333333"/>
          <w:kern w:val="0"/>
          <w:sz w:val="52"/>
          <w:szCs w:val="52"/>
          <w:shd w:val="clear" w:color="auto" w:fill="FFFFFF"/>
          <w:lang w:bidi="ar"/>
        </w:rPr>
        <w:t>目  录 </w:t>
      </w:r>
    </w:p>
    <w:p>
      <w:pPr>
        <w:widowControl/>
        <w:shd w:val="clear" w:color="auto" w:fill="FFFFFF"/>
        <w:spacing w:line="500" w:lineRule="exact"/>
        <w:jc w:val="left"/>
        <w:rPr>
          <w:rFonts w:ascii="黑体" w:hAnsi="黑体" w:eastAsia="黑体" w:cs="黑体"/>
          <w:color w:val="333333"/>
          <w:sz w:val="32"/>
          <w:szCs w:val="32"/>
        </w:rPr>
      </w:pPr>
      <w:r>
        <w:rPr>
          <w:rFonts w:hint="eastAsia" w:ascii="黑体" w:hAnsi="黑体" w:eastAsia="黑体" w:cs="黑体"/>
          <w:color w:val="333333"/>
          <w:kern w:val="0"/>
          <w:sz w:val="32"/>
          <w:szCs w:val="32"/>
          <w:shd w:val="clear" w:color="auto" w:fill="FFFFFF"/>
          <w:lang w:bidi="ar"/>
        </w:rPr>
        <w:t>第一部分  衡阳县长安乡单位概况</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一、部门职责</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二、机构设置及决算单位构成</w:t>
      </w:r>
    </w:p>
    <w:p>
      <w:pPr>
        <w:widowControl/>
        <w:shd w:val="clear" w:color="auto" w:fill="FFFFFF"/>
        <w:spacing w:line="500" w:lineRule="exact"/>
        <w:jc w:val="left"/>
        <w:rPr>
          <w:rFonts w:ascii="黑体" w:hAnsi="黑体" w:eastAsia="黑体" w:cs="黑体"/>
          <w:color w:val="333333"/>
          <w:sz w:val="32"/>
          <w:szCs w:val="32"/>
        </w:rPr>
      </w:pPr>
      <w:r>
        <w:rPr>
          <w:rFonts w:hint="eastAsia" w:ascii="黑体" w:hAnsi="黑体" w:eastAsia="黑体" w:cs="黑体"/>
          <w:color w:val="333333"/>
          <w:kern w:val="0"/>
          <w:sz w:val="32"/>
          <w:szCs w:val="32"/>
          <w:shd w:val="clear" w:color="auto" w:fill="FFFFFF"/>
          <w:lang w:bidi="ar"/>
        </w:rPr>
        <w:t>第二部分  衡阳县长安乡2019年度部门决算表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一、收入支出决算总表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二、收入决算表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三、支出决算表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四、财政拨款收入支出决算总表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五、一般公共预算财政拨款支出决算表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六、一般公共预算财政拨款基本支出决算表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七、一般公共预算财政拨款“三公”经费支出决算表</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八、政府性基金预算财政拨款收入支出决算表</w:t>
      </w:r>
    </w:p>
    <w:p>
      <w:pPr>
        <w:widowControl/>
        <w:shd w:val="clear" w:color="auto" w:fill="FFFFFF"/>
        <w:spacing w:line="500" w:lineRule="exact"/>
        <w:jc w:val="left"/>
        <w:rPr>
          <w:rFonts w:ascii="黑体" w:hAnsi="黑体" w:eastAsia="黑体" w:cs="黑体"/>
          <w:color w:val="333333"/>
          <w:sz w:val="32"/>
          <w:szCs w:val="32"/>
        </w:rPr>
      </w:pPr>
      <w:r>
        <w:rPr>
          <w:rFonts w:hint="eastAsia" w:ascii="黑体" w:hAnsi="黑体" w:eastAsia="黑体" w:cs="黑体"/>
          <w:color w:val="333333"/>
          <w:kern w:val="0"/>
          <w:sz w:val="32"/>
          <w:szCs w:val="32"/>
          <w:shd w:val="clear" w:color="auto" w:fill="FFFFFF"/>
          <w:lang w:bidi="ar"/>
        </w:rPr>
        <w:t>第三部分  衡阳县长安乡2019年度部门决算情况说明</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一、收入支出执行情况</w:t>
      </w:r>
    </w:p>
    <w:p>
      <w:pPr>
        <w:widowControl/>
        <w:shd w:val="clear" w:color="auto" w:fill="FFFFFF"/>
        <w:spacing w:line="500" w:lineRule="exact"/>
        <w:jc w:val="left"/>
        <w:rPr>
          <w:rFonts w:ascii="仿宋" w:hAnsi="仿宋" w:eastAsia="仿宋" w:cs="仿宋"/>
          <w:color w:val="000000"/>
          <w:kern w:val="0"/>
          <w:sz w:val="32"/>
          <w:szCs w:val="32"/>
        </w:rPr>
      </w:pPr>
      <w:r>
        <w:rPr>
          <w:rFonts w:hint="eastAsia" w:ascii="仿宋" w:hAnsi="仿宋" w:eastAsia="仿宋" w:cs="仿宋"/>
          <w:color w:val="333333"/>
          <w:kern w:val="0"/>
          <w:sz w:val="32"/>
          <w:szCs w:val="32"/>
          <w:shd w:val="clear" w:color="auto" w:fill="FFFFFF"/>
          <w:lang w:bidi="ar"/>
        </w:rPr>
        <w:t>二、</w:t>
      </w:r>
      <w:r>
        <w:rPr>
          <w:rFonts w:hint="eastAsia" w:ascii="仿宋" w:hAnsi="仿宋" w:eastAsia="仿宋" w:cs="仿宋"/>
          <w:color w:val="000000"/>
          <w:kern w:val="0"/>
          <w:sz w:val="32"/>
          <w:szCs w:val="32"/>
        </w:rPr>
        <w:t>决算收支增减变化情况说明</w:t>
      </w:r>
    </w:p>
    <w:p>
      <w:pPr>
        <w:widowControl/>
        <w:shd w:val="clear" w:color="auto" w:fill="FFFFFF"/>
        <w:spacing w:line="500" w:lineRule="exact"/>
        <w:jc w:val="left"/>
        <w:rPr>
          <w:rFonts w:ascii="仿宋" w:hAnsi="仿宋" w:eastAsia="仿宋" w:cs="仿宋"/>
          <w:color w:val="000000"/>
          <w:kern w:val="0"/>
          <w:sz w:val="32"/>
          <w:szCs w:val="32"/>
        </w:rPr>
      </w:pPr>
      <w:r>
        <w:rPr>
          <w:rFonts w:hint="eastAsia" w:ascii="仿宋" w:hAnsi="仿宋" w:eastAsia="仿宋" w:cs="仿宋"/>
          <w:color w:val="333333"/>
          <w:kern w:val="0"/>
          <w:sz w:val="32"/>
          <w:szCs w:val="32"/>
          <w:shd w:val="clear" w:color="auto" w:fill="FFFFFF"/>
          <w:lang w:bidi="ar"/>
        </w:rPr>
        <w:t>三、</w:t>
      </w:r>
      <w:r>
        <w:rPr>
          <w:rFonts w:hint="eastAsia" w:ascii="仿宋" w:hAnsi="仿宋" w:eastAsia="仿宋" w:cs="仿宋"/>
          <w:color w:val="000000"/>
          <w:kern w:val="0"/>
          <w:sz w:val="32"/>
          <w:szCs w:val="32"/>
        </w:rPr>
        <w:t>机关运行经费执行情况说明</w:t>
      </w:r>
    </w:p>
    <w:p>
      <w:pPr>
        <w:widowControl/>
        <w:shd w:val="clear" w:color="auto" w:fill="FFFFFF"/>
        <w:spacing w:line="500" w:lineRule="exact"/>
        <w:jc w:val="left"/>
        <w:rPr>
          <w:rFonts w:ascii="仿宋" w:hAnsi="仿宋" w:eastAsia="仿宋" w:cs="仿宋"/>
          <w:color w:val="000000"/>
          <w:kern w:val="0"/>
          <w:sz w:val="32"/>
          <w:szCs w:val="32"/>
        </w:rPr>
      </w:pPr>
      <w:r>
        <w:rPr>
          <w:rFonts w:hint="eastAsia" w:ascii="仿宋" w:hAnsi="仿宋" w:eastAsia="仿宋" w:cs="仿宋"/>
          <w:color w:val="333333"/>
          <w:kern w:val="0"/>
          <w:sz w:val="32"/>
          <w:szCs w:val="32"/>
          <w:shd w:val="clear" w:color="auto" w:fill="FFFFFF"/>
          <w:lang w:bidi="ar"/>
        </w:rPr>
        <w:t>四、</w:t>
      </w:r>
      <w:r>
        <w:rPr>
          <w:rFonts w:hint="eastAsia" w:ascii="仿宋" w:hAnsi="仿宋" w:eastAsia="仿宋" w:cs="仿宋"/>
          <w:color w:val="000000"/>
          <w:kern w:val="0"/>
          <w:sz w:val="32"/>
          <w:szCs w:val="32"/>
        </w:rPr>
        <w:t>政府采购支出情况说明</w:t>
      </w:r>
    </w:p>
    <w:p>
      <w:pPr>
        <w:widowControl/>
        <w:shd w:val="clear" w:color="auto" w:fill="FFFFFF"/>
        <w:spacing w:line="500" w:lineRule="exact"/>
        <w:jc w:val="left"/>
        <w:rPr>
          <w:rFonts w:ascii="仿宋" w:hAnsi="仿宋" w:eastAsia="仿宋" w:cs="仿宋"/>
          <w:color w:val="000000"/>
          <w:kern w:val="0"/>
          <w:sz w:val="32"/>
          <w:szCs w:val="32"/>
        </w:rPr>
      </w:pPr>
      <w:r>
        <w:rPr>
          <w:rFonts w:hint="eastAsia" w:ascii="仿宋" w:hAnsi="仿宋" w:eastAsia="仿宋" w:cs="仿宋"/>
          <w:color w:val="333333"/>
          <w:kern w:val="0"/>
          <w:sz w:val="32"/>
          <w:szCs w:val="32"/>
          <w:shd w:val="clear" w:color="auto" w:fill="FFFFFF"/>
          <w:lang w:bidi="ar"/>
        </w:rPr>
        <w:t>五、</w:t>
      </w:r>
      <w:r>
        <w:rPr>
          <w:rFonts w:hint="eastAsia" w:ascii="仿宋" w:hAnsi="仿宋" w:eastAsia="仿宋" w:cs="仿宋"/>
          <w:color w:val="000000"/>
          <w:kern w:val="0"/>
          <w:sz w:val="32"/>
          <w:szCs w:val="32"/>
        </w:rPr>
        <w:t>国有资产占有情况说明</w:t>
      </w:r>
    </w:p>
    <w:p>
      <w:pPr>
        <w:widowControl/>
        <w:shd w:val="clear" w:color="auto" w:fill="FFFFFF"/>
        <w:spacing w:line="500" w:lineRule="exact"/>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六、</w:t>
      </w:r>
      <w:r>
        <w:rPr>
          <w:rFonts w:hint="eastAsia" w:ascii="仿宋" w:hAnsi="仿宋" w:eastAsia="仿宋" w:cs="仿宋"/>
          <w:color w:val="000000"/>
          <w:kern w:val="0"/>
          <w:sz w:val="32"/>
          <w:szCs w:val="32"/>
        </w:rPr>
        <w:t>重点项目预算的绩效目标等预算绩效情况说明</w:t>
      </w:r>
    </w:p>
    <w:p>
      <w:pPr>
        <w:widowControl/>
        <w:shd w:val="clear" w:color="auto" w:fill="FFFFFF"/>
        <w:spacing w:line="500" w:lineRule="exact"/>
        <w:jc w:val="left"/>
        <w:rPr>
          <w:rFonts w:ascii="仿宋" w:hAnsi="仿宋" w:eastAsia="仿宋" w:cs="仿宋"/>
          <w:color w:val="000000"/>
          <w:kern w:val="0"/>
          <w:sz w:val="32"/>
          <w:szCs w:val="32"/>
        </w:rPr>
      </w:pPr>
      <w:r>
        <w:rPr>
          <w:rFonts w:hint="eastAsia" w:ascii="仿宋" w:hAnsi="仿宋" w:eastAsia="仿宋" w:cs="仿宋"/>
          <w:color w:val="333333"/>
          <w:kern w:val="0"/>
          <w:sz w:val="32"/>
          <w:szCs w:val="32"/>
          <w:shd w:val="clear" w:color="auto" w:fill="FFFFFF"/>
          <w:lang w:bidi="ar"/>
        </w:rPr>
        <w:t>七、</w:t>
      </w:r>
      <w:r>
        <w:rPr>
          <w:rFonts w:hint="eastAsia" w:ascii="仿宋" w:hAnsi="仿宋" w:eastAsia="仿宋" w:cs="仿宋"/>
          <w:color w:val="000000"/>
          <w:kern w:val="0"/>
          <w:sz w:val="32"/>
          <w:szCs w:val="32"/>
        </w:rPr>
        <w:t>“三公”经费增减变化原因说明</w:t>
      </w:r>
    </w:p>
    <w:p>
      <w:pPr>
        <w:widowControl/>
        <w:shd w:val="clear" w:color="auto" w:fill="FFFFFF"/>
        <w:spacing w:line="500" w:lineRule="exact"/>
        <w:jc w:val="left"/>
        <w:rPr>
          <w:rFonts w:ascii="仿宋" w:hAnsi="仿宋" w:eastAsia="仿宋" w:cs="仿宋"/>
          <w:color w:val="333333"/>
          <w:kern w:val="0"/>
          <w:sz w:val="32"/>
          <w:szCs w:val="32"/>
          <w:shd w:val="clear" w:color="auto" w:fill="FFFFFF"/>
          <w:lang w:bidi="ar"/>
        </w:rPr>
      </w:pPr>
      <w:r>
        <w:rPr>
          <w:rFonts w:hint="eastAsia" w:ascii="仿宋" w:hAnsi="仿宋" w:eastAsia="仿宋" w:cs="仿宋"/>
          <w:color w:val="333333"/>
          <w:kern w:val="0"/>
          <w:sz w:val="32"/>
          <w:szCs w:val="32"/>
          <w:shd w:val="clear" w:color="auto" w:fill="FFFFFF"/>
          <w:lang w:bidi="ar"/>
        </w:rPr>
        <w:t>八、政府性基金预算收入支出决算情况</w:t>
      </w:r>
    </w:p>
    <w:p>
      <w:pPr>
        <w:widowControl/>
        <w:shd w:val="clear" w:color="auto" w:fill="FFFFFF"/>
        <w:spacing w:line="500" w:lineRule="exact"/>
        <w:jc w:val="left"/>
        <w:rPr>
          <w:rFonts w:ascii="黑体" w:hAnsi="黑体" w:eastAsia="黑体" w:cs="黑体"/>
          <w:color w:val="333333"/>
          <w:sz w:val="32"/>
          <w:szCs w:val="32"/>
        </w:rPr>
      </w:pPr>
      <w:r>
        <w:rPr>
          <w:rFonts w:hint="eastAsia" w:ascii="黑体" w:hAnsi="黑体" w:eastAsia="黑体" w:cs="黑体"/>
          <w:color w:val="333333"/>
          <w:kern w:val="0"/>
          <w:sz w:val="32"/>
          <w:szCs w:val="32"/>
          <w:shd w:val="clear" w:color="auto" w:fill="FFFFFF"/>
          <w:lang w:bidi="ar"/>
        </w:rPr>
        <w:t>第四部分  名称解释</w:t>
      </w:r>
    </w:p>
    <w:p>
      <w:pPr>
        <w:numPr>
          <w:ilvl w:val="0"/>
          <w:numId w:val="1"/>
        </w:numPr>
        <w:spacing w:line="500" w:lineRule="exact"/>
        <w:rPr>
          <w:rFonts w:ascii="方正仿宋_GB2312" w:hAnsi="方正仿宋_GB2312" w:eastAsia="方正仿宋_GB2312" w:cs="方正仿宋_GB2312"/>
          <w:sz w:val="32"/>
          <w:szCs w:val="32"/>
          <w:shd w:val="clear" w:color="auto" w:fill="FFFFFF"/>
        </w:rPr>
      </w:pPr>
      <w:r>
        <w:rPr>
          <w:rFonts w:hint="eastAsia" w:ascii="仿宋" w:hAnsi="仿宋" w:eastAsia="仿宋" w:cs="仿宋"/>
          <w:color w:val="333333"/>
          <w:kern w:val="0"/>
          <w:sz w:val="32"/>
          <w:szCs w:val="32"/>
          <w:shd w:val="clear" w:color="auto" w:fill="FFFFFF"/>
          <w:lang w:bidi="ar"/>
        </w:rPr>
        <w:t> </w:t>
      </w:r>
      <w:r>
        <w:rPr>
          <w:rFonts w:hint="eastAsia" w:ascii="方正仿宋_GB2312" w:hAnsi="方正仿宋_GB2312" w:eastAsia="方正仿宋_GB2312" w:cs="方正仿宋_GB2312"/>
          <w:sz w:val="32"/>
          <w:szCs w:val="32"/>
          <w:shd w:val="clear" w:color="auto" w:fill="FFFFFF"/>
        </w:rPr>
        <w:t>基本支出</w:t>
      </w:r>
    </w:p>
    <w:p>
      <w:pPr>
        <w:numPr>
          <w:ilvl w:val="0"/>
          <w:numId w:val="1"/>
        </w:numPr>
        <w:spacing w:line="500" w:lineRule="exact"/>
        <w:rPr>
          <w:rFonts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 xml:space="preserve">项目支出  </w:t>
      </w:r>
    </w:p>
    <w:p>
      <w:pPr>
        <w:numPr>
          <w:ilvl w:val="0"/>
          <w:numId w:val="1"/>
        </w:numPr>
        <w:spacing w:line="500" w:lineRule="exact"/>
        <w:rPr>
          <w:rFonts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“三公”经费现</w:t>
      </w:r>
    </w:p>
    <w:p>
      <w:pPr>
        <w:numPr>
          <w:ilvl w:val="0"/>
          <w:numId w:val="1"/>
        </w:numPr>
        <w:spacing w:line="500" w:lineRule="exact"/>
        <w:rPr>
          <w:rFonts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机关运行费</w:t>
      </w:r>
    </w:p>
    <w:p>
      <w:pPr>
        <w:widowControl/>
        <w:shd w:val="clear" w:color="auto" w:fill="FFFFFF"/>
        <w:spacing w:line="600" w:lineRule="atLeast"/>
        <w:jc w:val="left"/>
        <w:rPr>
          <w:rFonts w:ascii="黑体" w:hAnsi="黑体" w:eastAsia="黑体" w:cs="黑体"/>
          <w:color w:val="333333"/>
          <w:kern w:val="0"/>
          <w:sz w:val="32"/>
          <w:szCs w:val="32"/>
          <w:shd w:val="clear" w:color="auto" w:fill="FFFFFF"/>
          <w:lang w:bidi="ar"/>
        </w:rPr>
      </w:pPr>
      <w:r>
        <w:rPr>
          <w:rFonts w:hint="eastAsia" w:ascii="黑体" w:hAnsi="黑体" w:eastAsia="黑体" w:cs="黑体"/>
          <w:color w:val="333333"/>
          <w:kern w:val="0"/>
          <w:sz w:val="32"/>
          <w:szCs w:val="32"/>
          <w:shd w:val="clear" w:color="auto" w:fill="FFFFFF"/>
          <w:lang w:bidi="ar"/>
        </w:rPr>
        <w:t> 第一部分  衡阳县长安乡单位概况</w:t>
      </w:r>
    </w:p>
    <w:p>
      <w:pPr>
        <w:widowControl/>
        <w:shd w:val="clear" w:color="auto" w:fill="FFFFFF"/>
        <w:spacing w:line="600" w:lineRule="atLeast"/>
        <w:ind w:firstLine="640"/>
        <w:jc w:val="left"/>
        <w:rPr>
          <w:rFonts w:ascii="宋体" w:hAnsi="宋体" w:eastAsia="宋体" w:cs="宋体"/>
          <w:b/>
          <w:bCs/>
          <w:color w:val="333333"/>
          <w:sz w:val="32"/>
          <w:szCs w:val="32"/>
        </w:rPr>
      </w:pPr>
      <w:r>
        <w:rPr>
          <w:rFonts w:hint="eastAsia" w:ascii="宋体" w:hAnsi="宋体" w:eastAsia="宋体" w:cs="宋体"/>
          <w:b/>
          <w:bCs/>
          <w:color w:val="333333"/>
          <w:kern w:val="0"/>
          <w:sz w:val="32"/>
          <w:szCs w:val="32"/>
          <w:shd w:val="clear" w:color="auto" w:fill="FFFFFF"/>
          <w:lang w:bidi="ar"/>
        </w:rPr>
        <w:t>一、部门职责</w:t>
      </w:r>
    </w:p>
    <w:p>
      <w:pPr>
        <w:widowControl/>
        <w:shd w:val="clear" w:color="auto" w:fill="FFFFFF"/>
        <w:spacing w:line="480" w:lineRule="atLeast"/>
        <w:ind w:firstLine="56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1、负责党的路线、方针、政策的宣传、贯彻和落实。</w:t>
      </w:r>
    </w:p>
    <w:p>
      <w:pPr>
        <w:widowControl/>
        <w:shd w:val="clear" w:color="auto" w:fill="FFFFFF"/>
        <w:spacing w:line="480" w:lineRule="atLeast"/>
        <w:ind w:firstLine="56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2、抓好本乡党建工作、群团工作、精神文明建设工作、新闻宣传工作。</w:t>
      </w:r>
    </w:p>
    <w:p>
      <w:pPr>
        <w:widowControl/>
        <w:shd w:val="clear" w:color="auto" w:fill="FFFFFF"/>
        <w:spacing w:line="480" w:lineRule="atLeast"/>
        <w:ind w:firstLine="56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3、加强基层党组织和政权建设。</w:t>
      </w:r>
    </w:p>
    <w:p>
      <w:pPr>
        <w:widowControl/>
        <w:shd w:val="clear" w:color="auto" w:fill="FFFFFF"/>
        <w:spacing w:line="480" w:lineRule="atLeast"/>
        <w:ind w:firstLine="56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4、依法管理经济和社会事物，促进当地经济发展。</w:t>
      </w:r>
    </w:p>
    <w:p>
      <w:pPr>
        <w:widowControl/>
        <w:shd w:val="clear" w:color="auto" w:fill="FFFFFF"/>
        <w:spacing w:line="480" w:lineRule="atLeast"/>
        <w:ind w:left="141" w:firstLine="42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5、抓好安全生产和公共安全管理，及时上报和处理重大社情、险情，保障人民生命财产安全。</w:t>
      </w:r>
    </w:p>
    <w:p>
      <w:pPr>
        <w:widowControl/>
        <w:shd w:val="clear" w:color="auto" w:fill="FFFFFF"/>
        <w:spacing w:line="480" w:lineRule="atLeast"/>
        <w:ind w:left="561"/>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6、大力加强综合治理，有效维护社会稳定。</w:t>
      </w:r>
    </w:p>
    <w:p>
      <w:pPr>
        <w:widowControl/>
        <w:shd w:val="clear" w:color="auto" w:fill="FFFFFF"/>
        <w:spacing w:line="480" w:lineRule="atLeast"/>
        <w:ind w:firstLine="56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7、按计划组织本级财政收入，不断培植财源，管好财政资金，增强财政实力。</w:t>
      </w:r>
    </w:p>
    <w:p>
      <w:pPr>
        <w:widowControl/>
        <w:shd w:val="clear" w:color="auto" w:fill="FFFFFF"/>
        <w:spacing w:line="480" w:lineRule="atLeast"/>
        <w:ind w:firstLine="56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8、抓好精神文明建设，丰富</w:t>
      </w:r>
      <w:r>
        <w:fldChar w:fldCharType="begin"/>
      </w:r>
      <w:r>
        <w:instrText xml:space="preserve"> HYPERLINK "https://www.baidu.com/s?wd=%E7%BE%A4%E4%BC%97%E6%96%87%E5%8C%96&amp;tn=SE_PcZhidaonwhc_ngpagmjz&amp;rsv_dl=gh_pc_zhidao" </w:instrText>
      </w:r>
      <w:r>
        <w:fldChar w:fldCharType="separate"/>
      </w:r>
      <w:r>
        <w:rPr>
          <w:rStyle w:val="6"/>
          <w:rFonts w:hint="eastAsia" w:ascii="仿宋" w:hAnsi="仿宋" w:eastAsia="仿宋" w:cs="仿宋"/>
          <w:color w:val="333333"/>
          <w:sz w:val="32"/>
          <w:szCs w:val="32"/>
          <w:u w:val="none"/>
          <w:shd w:val="clear" w:color="auto" w:fill="FFFFFF"/>
        </w:rPr>
        <w:t>群众文化</w:t>
      </w:r>
      <w:r>
        <w:rPr>
          <w:rStyle w:val="6"/>
          <w:rFonts w:hint="eastAsia" w:ascii="仿宋" w:hAnsi="仿宋" w:eastAsia="仿宋" w:cs="仿宋"/>
          <w:color w:val="333333"/>
          <w:sz w:val="32"/>
          <w:szCs w:val="32"/>
          <w:u w:val="none"/>
          <w:shd w:val="clear" w:color="auto" w:fill="FFFFFF"/>
        </w:rPr>
        <w:fldChar w:fldCharType="end"/>
      </w:r>
      <w:r>
        <w:rPr>
          <w:rFonts w:hint="eastAsia" w:ascii="仿宋" w:hAnsi="仿宋" w:eastAsia="仿宋" w:cs="仿宋"/>
          <w:color w:val="000000"/>
          <w:kern w:val="0"/>
          <w:sz w:val="32"/>
          <w:szCs w:val="32"/>
          <w:shd w:val="clear" w:color="auto" w:fill="FFFFFF"/>
          <w:lang w:bidi="ar"/>
        </w:rPr>
        <w:t>生活，推动移风易俗，树立文明新风。</w:t>
      </w:r>
    </w:p>
    <w:p>
      <w:pPr>
        <w:widowControl/>
        <w:shd w:val="clear" w:color="auto" w:fill="FFFFFF"/>
        <w:spacing w:line="480" w:lineRule="atLeast"/>
        <w:ind w:firstLine="560"/>
        <w:rPr>
          <w:rFonts w:ascii="仿宋" w:hAnsi="仿宋" w:eastAsia="仿宋" w:cs="仿宋"/>
          <w:color w:val="000000"/>
          <w:kern w:val="0"/>
          <w:sz w:val="32"/>
          <w:szCs w:val="32"/>
          <w:shd w:val="clear" w:color="auto" w:fill="FFFFFF"/>
          <w:lang w:bidi="ar"/>
        </w:rPr>
      </w:pPr>
      <w:r>
        <w:rPr>
          <w:rFonts w:hint="eastAsia" w:ascii="仿宋" w:hAnsi="仿宋" w:eastAsia="仿宋" w:cs="仿宋"/>
          <w:color w:val="000000"/>
          <w:kern w:val="0"/>
          <w:sz w:val="32"/>
          <w:szCs w:val="32"/>
          <w:shd w:val="clear" w:color="auto" w:fill="FFFFFF"/>
          <w:lang w:bidi="ar"/>
        </w:rPr>
        <w:t>9、完成上级党委、政府交办的其它工作。 </w:t>
      </w:r>
    </w:p>
    <w:p>
      <w:pPr>
        <w:widowControl/>
        <w:shd w:val="clear" w:color="auto" w:fill="FFFFFF"/>
        <w:ind w:firstLine="645"/>
        <w:jc w:val="left"/>
        <w:rPr>
          <w:rFonts w:ascii="宋体" w:hAnsi="宋体" w:eastAsia="宋体" w:cs="宋体"/>
          <w:b/>
          <w:bCs/>
          <w:color w:val="333333"/>
          <w:sz w:val="32"/>
          <w:szCs w:val="32"/>
        </w:rPr>
      </w:pPr>
      <w:r>
        <w:rPr>
          <w:rFonts w:hint="eastAsia" w:ascii="宋体" w:hAnsi="宋体" w:eastAsia="宋体" w:cs="宋体"/>
          <w:b/>
          <w:bCs/>
          <w:color w:val="333333"/>
          <w:kern w:val="0"/>
          <w:sz w:val="32"/>
          <w:szCs w:val="32"/>
          <w:shd w:val="clear" w:color="auto" w:fill="FFFFFF"/>
          <w:lang w:bidi="ar"/>
        </w:rPr>
        <w:t>二、机构设置及决算单位构成</w:t>
      </w:r>
    </w:p>
    <w:p>
      <w:pPr>
        <w:widowControl/>
        <w:spacing w:line="480" w:lineRule="atLeast"/>
        <w:ind w:left="300" w:right="300" w:firstLine="640"/>
        <w:jc w:val="left"/>
        <w:rPr>
          <w:rFonts w:ascii="仿宋" w:hAnsi="仿宋" w:eastAsia="仿宋" w:cs="仿宋"/>
          <w:color w:val="333333"/>
          <w:sz w:val="32"/>
          <w:szCs w:val="32"/>
        </w:rPr>
      </w:pPr>
      <w:r>
        <w:rPr>
          <w:rFonts w:hint="eastAsia" w:ascii="仿宋" w:hAnsi="仿宋" w:eastAsia="仿宋" w:cs="仿宋"/>
          <w:b/>
          <w:bCs/>
          <w:color w:val="333333"/>
          <w:kern w:val="0"/>
          <w:sz w:val="32"/>
          <w:szCs w:val="32"/>
          <w:shd w:val="clear" w:color="auto" w:fill="FFFFFF"/>
          <w:lang w:bidi="ar"/>
        </w:rPr>
        <w:t>（一）机构设置。</w:t>
      </w:r>
      <w:r>
        <w:rPr>
          <w:rFonts w:hint="eastAsia" w:ascii="仿宋" w:hAnsi="仿宋" w:eastAsia="仿宋" w:cs="仿宋"/>
          <w:color w:val="333333"/>
          <w:kern w:val="0"/>
          <w:sz w:val="32"/>
          <w:szCs w:val="32"/>
          <w:shd w:val="clear" w:color="auto" w:fill="FFFFFF"/>
          <w:lang w:bidi="ar"/>
        </w:rPr>
        <w:t>长安乡</w:t>
      </w:r>
      <w:r>
        <w:rPr>
          <w:rFonts w:hint="eastAsia" w:ascii="仿宋" w:hAnsi="仿宋" w:eastAsia="仿宋" w:cs="仿宋"/>
          <w:color w:val="000000"/>
          <w:kern w:val="0"/>
          <w:sz w:val="32"/>
          <w:szCs w:val="32"/>
          <w:shd w:val="clear" w:color="auto" w:fill="FFFFFF"/>
          <w:lang w:bidi="ar"/>
        </w:rPr>
        <w:t>内设九个站所，分别为</w:t>
      </w:r>
      <w:r>
        <w:rPr>
          <w:rFonts w:hint="eastAsia" w:ascii="仿宋" w:hAnsi="仿宋" w:eastAsia="仿宋" w:cs="仿宋"/>
          <w:color w:val="333333"/>
          <w:kern w:val="0"/>
          <w:sz w:val="32"/>
          <w:szCs w:val="32"/>
        </w:rPr>
        <w:t>农技站、农机站、动检站、农经站、经信站、林业站、水利站、卫计办、文化站。</w:t>
      </w:r>
    </w:p>
    <w:p>
      <w:pPr>
        <w:widowControl/>
        <w:numPr>
          <w:ilvl w:val="0"/>
          <w:numId w:val="2"/>
        </w:numPr>
        <w:shd w:val="clear" w:color="auto" w:fill="FFFFFF"/>
        <w:spacing w:line="600" w:lineRule="atLeast"/>
        <w:ind w:firstLine="643"/>
        <w:jc w:val="left"/>
        <w:rPr>
          <w:rFonts w:ascii="仿宋" w:hAnsi="仿宋" w:eastAsia="仿宋" w:cs="仿宋"/>
          <w:color w:val="333333"/>
          <w:kern w:val="0"/>
          <w:sz w:val="32"/>
          <w:szCs w:val="32"/>
          <w:shd w:val="clear" w:color="auto" w:fill="FFFFFF"/>
          <w:lang w:bidi="ar"/>
        </w:rPr>
      </w:pPr>
      <w:r>
        <w:rPr>
          <w:rFonts w:hint="eastAsia" w:ascii="仿宋" w:hAnsi="仿宋" w:eastAsia="仿宋" w:cs="仿宋"/>
          <w:b/>
          <w:bCs/>
          <w:color w:val="333333"/>
          <w:kern w:val="0"/>
          <w:sz w:val="32"/>
          <w:szCs w:val="32"/>
          <w:shd w:val="clear" w:color="auto" w:fill="FFFFFF"/>
          <w:lang w:bidi="ar"/>
        </w:rPr>
        <w:t>决算单位构成。</w:t>
      </w:r>
      <w:r>
        <w:rPr>
          <w:rFonts w:hint="eastAsia" w:ascii="仿宋" w:hAnsi="仿宋" w:eastAsia="仿宋" w:cs="仿宋"/>
          <w:color w:val="333333"/>
          <w:kern w:val="0"/>
          <w:sz w:val="32"/>
          <w:szCs w:val="32"/>
          <w:shd w:val="clear" w:color="auto" w:fill="FFFFFF"/>
          <w:lang w:bidi="ar"/>
        </w:rPr>
        <w:t>长安乡</w:t>
      </w:r>
      <w:r>
        <w:rPr>
          <w:rFonts w:hint="eastAsia" w:ascii="仿宋" w:hAnsi="仿宋" w:eastAsia="仿宋" w:cs="仿宋"/>
          <w:color w:val="333333"/>
          <w:sz w:val="32"/>
          <w:szCs w:val="32"/>
          <w:shd w:val="clear" w:color="auto" w:fill="FFFFFF"/>
        </w:rPr>
        <w:t>2019年部门决算编制范围含乡</w:t>
      </w:r>
      <w:r>
        <w:rPr>
          <w:rFonts w:hint="eastAsia" w:ascii="仿宋" w:hAnsi="仿宋" w:eastAsia="仿宋" w:cs="仿宋"/>
          <w:color w:val="000000"/>
          <w:kern w:val="0"/>
          <w:sz w:val="32"/>
          <w:szCs w:val="32"/>
          <w:shd w:val="clear" w:color="auto" w:fill="FFFFFF"/>
          <w:lang w:bidi="ar"/>
        </w:rPr>
        <w:t>机关本级及</w:t>
      </w:r>
      <w:r>
        <w:rPr>
          <w:rFonts w:hint="eastAsia" w:ascii="仿宋" w:hAnsi="仿宋" w:eastAsia="仿宋" w:cs="仿宋"/>
          <w:color w:val="333333"/>
          <w:kern w:val="0"/>
          <w:sz w:val="32"/>
          <w:szCs w:val="32"/>
        </w:rPr>
        <w:t>农技站、农机站、动检站、农经站、经信站、林业站、水利站、卫计办、文化站</w:t>
      </w:r>
      <w:r>
        <w:rPr>
          <w:rFonts w:hint="eastAsia" w:ascii="仿宋" w:hAnsi="仿宋" w:eastAsia="仿宋" w:cs="仿宋"/>
          <w:color w:val="333333"/>
          <w:kern w:val="0"/>
          <w:sz w:val="32"/>
          <w:szCs w:val="32"/>
          <w:shd w:val="clear" w:color="auto" w:fill="FFFFFF"/>
          <w:lang w:bidi="ar"/>
        </w:rPr>
        <w:t>9个站所。</w:t>
      </w:r>
    </w:p>
    <w:p>
      <w:pPr>
        <w:widowControl/>
        <w:shd w:val="clear" w:color="auto" w:fill="FFFFFF"/>
        <w:spacing w:line="600" w:lineRule="atLeast"/>
        <w:jc w:val="left"/>
        <w:rPr>
          <w:rFonts w:ascii="黑体" w:hAnsi="黑体" w:eastAsia="黑体" w:cs="黑体"/>
          <w:color w:val="333333"/>
          <w:kern w:val="0"/>
          <w:sz w:val="32"/>
          <w:szCs w:val="32"/>
          <w:shd w:val="clear" w:color="auto" w:fill="FFFFFF"/>
          <w:lang w:bidi="ar"/>
        </w:rPr>
      </w:pPr>
      <w:r>
        <w:rPr>
          <w:rFonts w:hint="eastAsia" w:ascii="黑体" w:hAnsi="黑体" w:eastAsia="黑体" w:cs="黑体"/>
          <w:color w:val="333333"/>
          <w:kern w:val="0"/>
          <w:sz w:val="32"/>
          <w:szCs w:val="32"/>
          <w:shd w:val="clear" w:color="auto" w:fill="FFFFFF"/>
          <w:lang w:bidi="ar"/>
        </w:rPr>
        <w:t xml:space="preserve">第二部分 衡阳县长安乡2019年度部门决算表 （详见附件）         </w:t>
      </w:r>
    </w:p>
    <w:p>
      <w:pPr>
        <w:widowControl/>
        <w:shd w:val="clear" w:color="auto" w:fill="FFFFFF"/>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 </w:t>
      </w:r>
    </w:p>
    <w:p>
      <w:pPr>
        <w:widowControl/>
        <w:shd w:val="clear" w:color="auto" w:fill="FFFFFF"/>
        <w:spacing w:line="600" w:lineRule="atLeast"/>
        <w:jc w:val="left"/>
        <w:rPr>
          <w:rFonts w:ascii="黑体" w:hAnsi="黑体" w:eastAsia="黑体" w:cs="黑体"/>
          <w:color w:val="333333"/>
          <w:sz w:val="32"/>
          <w:szCs w:val="32"/>
        </w:rPr>
      </w:pPr>
      <w:r>
        <w:rPr>
          <w:rFonts w:hint="eastAsia" w:ascii="黑体" w:hAnsi="黑体" w:eastAsia="黑体" w:cs="黑体"/>
          <w:color w:val="333333"/>
          <w:kern w:val="0"/>
          <w:sz w:val="32"/>
          <w:szCs w:val="32"/>
          <w:shd w:val="clear" w:color="auto" w:fill="FFFFFF"/>
          <w:lang w:bidi="ar"/>
        </w:rPr>
        <w:t>第三部分 衡阳县长安乡2019年度部门决算情况说明</w:t>
      </w:r>
    </w:p>
    <w:p>
      <w:pPr>
        <w:widowControl/>
        <w:shd w:val="clear" w:color="auto" w:fill="FFFFFF"/>
        <w:spacing w:line="480" w:lineRule="atLeast"/>
        <w:ind w:firstLine="645"/>
        <w:jc w:val="left"/>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（一）收入支出执行情况</w:t>
      </w:r>
    </w:p>
    <w:p>
      <w:pPr>
        <w:widowControl/>
        <w:shd w:val="clear" w:color="auto" w:fill="FFFFFF"/>
        <w:spacing w:line="480" w:lineRule="atLeast"/>
        <w:ind w:firstLine="645"/>
        <w:jc w:val="left"/>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2019年总收入1172.86万元（含政府性基金5万元），比2018年总收入增加78.83万元。2019年总支出925.31万元，比上年减少168.72万元。其中基本支出915.31万元，占总支出的98.92%；项目支出10.00万元，占总支出的1.08%。</w:t>
      </w:r>
    </w:p>
    <w:p>
      <w:pPr>
        <w:widowControl/>
        <w:shd w:val="clear" w:color="auto" w:fill="FFFFFF"/>
        <w:spacing w:line="480" w:lineRule="atLeast"/>
        <w:ind w:firstLine="645"/>
        <w:jc w:val="left"/>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（二）决算收支增减变化情况说明</w:t>
      </w:r>
    </w:p>
    <w:p>
      <w:pPr>
        <w:pStyle w:val="3"/>
        <w:shd w:val="clear" w:color="auto" w:fill="FFFFFF"/>
        <w:spacing w:beforeAutospacing="0" w:afterAutospacing="0" w:line="480" w:lineRule="atLeast"/>
        <w:ind w:firstLine="636" w:firstLineChars="199"/>
        <w:rPr>
          <w:rFonts w:ascii="仿宋" w:hAnsi="仿宋" w:eastAsia="仿宋" w:cs="仿宋"/>
          <w:color w:val="000000"/>
          <w:sz w:val="32"/>
          <w:szCs w:val="32"/>
        </w:rPr>
      </w:pPr>
      <w:r>
        <w:rPr>
          <w:rFonts w:hint="eastAsia" w:ascii="仿宋" w:hAnsi="仿宋" w:eastAsia="仿宋" w:cs="仿宋"/>
          <w:color w:val="000000"/>
          <w:sz w:val="32"/>
          <w:szCs w:val="32"/>
        </w:rPr>
        <w:t>年初预算基本支出694.11万元，决算为915.31万元，增加    221.2万元；主要是人员经费和日常公用经费增加。年初预算项目支出0万元，决算为10.00万元，主要原因是财政及文化管理事务经费增加。</w:t>
      </w:r>
    </w:p>
    <w:p>
      <w:pPr>
        <w:widowControl/>
        <w:shd w:val="clear" w:color="auto" w:fill="FFFFFF"/>
        <w:spacing w:line="480" w:lineRule="atLeast"/>
        <w:ind w:firstLine="645"/>
        <w:jc w:val="left"/>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（三）机关运行经费执行情况说明</w:t>
      </w:r>
    </w:p>
    <w:p>
      <w:pPr>
        <w:widowControl/>
        <w:shd w:val="clear" w:color="auto" w:fill="FFFFFF"/>
        <w:spacing w:line="480" w:lineRule="atLeast"/>
        <w:ind w:firstLine="645"/>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2019年机关运行经费支出135.04万元，比2018 年减少199.6万元，主要原因是农林水农村综合改革经费及站所经费未结好账。</w:t>
      </w:r>
    </w:p>
    <w:p>
      <w:pPr>
        <w:widowControl/>
        <w:shd w:val="clear" w:color="auto" w:fill="FFFFFF"/>
        <w:spacing w:line="480" w:lineRule="atLeast"/>
        <w:ind w:firstLine="645"/>
        <w:jc w:val="left"/>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（四）政府采购支出情况说明</w:t>
      </w:r>
    </w:p>
    <w:p>
      <w:pPr>
        <w:widowControl/>
        <w:shd w:val="clear" w:color="auto" w:fill="FFFFFF"/>
        <w:spacing w:line="480" w:lineRule="atLeast"/>
        <w:ind w:firstLine="976"/>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2019年我乡政府采购支出512.58万元，其中采购办公用品等物资4.52万元；采购工程物资508.06万元（</w:t>
      </w:r>
      <w:r>
        <w:rPr>
          <w:rFonts w:hint="eastAsia" w:ascii="仿宋_GB2312" w:hAnsi="仿宋" w:eastAsia="仿宋_GB2312" w:cs="仿宋"/>
          <w:bCs/>
          <w:sz w:val="32"/>
          <w:szCs w:val="32"/>
        </w:rPr>
        <w:t>1.公共服务平台及公租房建设项目217.99万元;2.公租房配套基础设施项目</w:t>
      </w:r>
      <w:bookmarkStart w:id="0" w:name="_GoBack"/>
      <w:bookmarkEnd w:id="0"/>
      <w:r>
        <w:rPr>
          <w:rFonts w:hint="eastAsia" w:ascii="仿宋_GB2312" w:hAnsi="仿宋" w:eastAsia="仿宋_GB2312" w:cs="仿宋"/>
          <w:bCs/>
          <w:sz w:val="32"/>
          <w:szCs w:val="32"/>
        </w:rPr>
        <w:t>92.39万元；3.免费图书室和道德讲堂建设项目金额</w:t>
      </w:r>
      <w:r>
        <w:rPr>
          <w:rFonts w:hint="eastAsia" w:ascii="仿宋_GB2312" w:hAnsi="仿宋" w:eastAsia="仿宋_GB2312" w:cs="仿宋"/>
          <w:bCs/>
          <w:sz w:val="32"/>
          <w:szCs w:val="32"/>
          <w:lang w:val="en-US" w:eastAsia="zh-CN"/>
        </w:rPr>
        <w:t>1</w:t>
      </w:r>
      <w:r>
        <w:rPr>
          <w:rFonts w:hint="eastAsia" w:ascii="仿宋_GB2312" w:hAnsi="仿宋" w:eastAsia="仿宋_GB2312" w:cs="仿宋"/>
          <w:bCs/>
          <w:sz w:val="32"/>
          <w:szCs w:val="32"/>
        </w:rPr>
        <w:t>8.5万元；4.长安乡保障性安居工程配套基础设施建设项目休闲广场建设工程金额189.18万元。</w:t>
      </w:r>
      <w:r>
        <w:rPr>
          <w:rFonts w:hint="eastAsia" w:ascii="仿宋" w:hAnsi="仿宋" w:eastAsia="仿宋" w:cs="仿宋"/>
          <w:color w:val="000000"/>
          <w:kern w:val="0"/>
          <w:sz w:val="32"/>
          <w:szCs w:val="32"/>
        </w:rPr>
        <w:t>）。</w:t>
      </w:r>
    </w:p>
    <w:p>
      <w:pPr>
        <w:widowControl/>
        <w:shd w:val="clear" w:color="auto" w:fill="FFFFFF"/>
        <w:spacing w:line="480" w:lineRule="atLeast"/>
        <w:ind w:firstLine="645"/>
        <w:jc w:val="left"/>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（五）国有资产占有情况说明</w:t>
      </w:r>
    </w:p>
    <w:p>
      <w:pPr>
        <w:widowControl/>
        <w:shd w:val="clear" w:color="auto" w:fill="FFFFFF"/>
        <w:spacing w:line="480" w:lineRule="atLeast"/>
        <w:ind w:firstLine="976"/>
        <w:jc w:val="left"/>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2019年度资产总额2077.39万元，其中流动资产1310.07万元，固定资产原值689.20万元，累计折旧108.33万元，净值580.87万元。</w:t>
      </w:r>
    </w:p>
    <w:p>
      <w:pPr>
        <w:widowControl/>
        <w:shd w:val="clear" w:color="auto" w:fill="FFFFFF"/>
        <w:spacing w:line="480" w:lineRule="atLeast"/>
        <w:ind w:firstLine="645"/>
        <w:jc w:val="left"/>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（六）重点绩效评价结果等预算绩效情况说明</w:t>
      </w:r>
    </w:p>
    <w:p>
      <w:pPr>
        <w:widowControl/>
        <w:shd w:val="clear" w:color="auto" w:fill="FFFFFF"/>
        <w:spacing w:before="105" w:after="105" w:line="480" w:lineRule="atLeast"/>
        <w:ind w:firstLine="96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2019年我乡没有重点项目预算。</w:t>
      </w:r>
    </w:p>
    <w:p>
      <w:pPr>
        <w:widowControl/>
        <w:shd w:val="clear" w:color="auto" w:fill="FFFFFF"/>
        <w:spacing w:line="480" w:lineRule="atLeast"/>
        <w:ind w:firstLine="645"/>
        <w:jc w:val="left"/>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（七）“三公”经费增减变化原因说明</w:t>
      </w:r>
    </w:p>
    <w:p>
      <w:pPr>
        <w:widowControl/>
        <w:shd w:val="clear" w:color="auto" w:fill="FFFFFF"/>
        <w:spacing w:line="480" w:lineRule="atLeast"/>
        <w:ind w:firstLine="645"/>
        <w:jc w:val="left"/>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公务接待费本年13.24万元，全年接待批次362次，接待人数3311人，比上年14.88万元减少1.64万元，主要是接待多在食堂用餐，接待费用大幅下降。</w:t>
      </w:r>
    </w:p>
    <w:p>
      <w:pPr>
        <w:widowControl/>
        <w:shd w:val="clear" w:color="auto" w:fill="FFFFFF"/>
        <w:spacing w:line="480" w:lineRule="atLeast"/>
        <w:ind w:firstLine="645"/>
        <w:jc w:val="left"/>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公务用车运行费本年支出2.85万元，其中公务用车购置费为0，公务用车运行维护费2.85万元，比上年3万元减少0.15万元，主要是为加强工作效率，由乡党政办严格执行用车制度，公车仅限用于日常工作。</w:t>
      </w:r>
    </w:p>
    <w:p>
      <w:pPr>
        <w:widowControl/>
        <w:numPr>
          <w:ilvl w:val="0"/>
          <w:numId w:val="3"/>
        </w:numPr>
        <w:shd w:val="clear" w:color="auto" w:fill="FFFFFF"/>
        <w:spacing w:line="600" w:lineRule="atLeast"/>
        <w:ind w:firstLine="480"/>
        <w:jc w:val="left"/>
        <w:rPr>
          <w:rFonts w:ascii="宋体" w:hAnsi="宋体" w:eastAsia="宋体" w:cs="宋体"/>
          <w:b/>
          <w:bCs/>
          <w:color w:val="333333"/>
          <w:kern w:val="0"/>
          <w:sz w:val="32"/>
          <w:szCs w:val="32"/>
          <w:shd w:val="clear" w:color="auto" w:fill="FFFFFF"/>
          <w:lang w:bidi="ar"/>
        </w:rPr>
      </w:pPr>
      <w:r>
        <w:rPr>
          <w:rFonts w:hint="eastAsia" w:ascii="宋体" w:hAnsi="宋体" w:eastAsia="宋体" w:cs="宋体"/>
          <w:b/>
          <w:bCs/>
          <w:color w:val="333333"/>
          <w:kern w:val="0"/>
          <w:sz w:val="32"/>
          <w:szCs w:val="32"/>
          <w:shd w:val="clear" w:color="auto" w:fill="FFFFFF"/>
          <w:lang w:bidi="ar"/>
        </w:rPr>
        <w:t>政府性基金预算收入支出决算情况</w:t>
      </w:r>
    </w:p>
    <w:p>
      <w:pPr>
        <w:widowControl/>
        <w:shd w:val="clear" w:color="auto" w:fill="FFFFFF"/>
        <w:spacing w:line="600" w:lineRule="atLeast"/>
        <w:ind w:firstLine="640"/>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2019年度政府性基金预算收入5万元，支出5万元。</w:t>
      </w:r>
    </w:p>
    <w:p>
      <w:pPr>
        <w:widowControl/>
        <w:shd w:val="clear" w:color="auto" w:fill="FFFFFF"/>
        <w:spacing w:before="105" w:after="105" w:line="480" w:lineRule="atLeast"/>
        <w:jc w:val="left"/>
        <w:rPr>
          <w:rFonts w:ascii="黑体" w:hAnsi="黑体" w:eastAsia="黑体" w:cs="黑体"/>
          <w:color w:val="000000"/>
          <w:kern w:val="0"/>
          <w:sz w:val="32"/>
          <w:szCs w:val="32"/>
        </w:rPr>
      </w:pPr>
      <w:r>
        <w:rPr>
          <w:rFonts w:hint="eastAsia" w:ascii="黑体" w:hAnsi="黑体" w:eastAsia="黑体" w:cs="黑体"/>
          <w:color w:val="333333"/>
          <w:kern w:val="0"/>
          <w:sz w:val="32"/>
          <w:szCs w:val="32"/>
        </w:rPr>
        <w:t>第四部分   名词解释</w:t>
      </w:r>
    </w:p>
    <w:p>
      <w:pPr>
        <w:widowControl/>
        <w:shd w:val="clear" w:color="auto" w:fill="FFFFFF"/>
        <w:ind w:firstLine="640"/>
        <w:jc w:val="left"/>
        <w:rPr>
          <w:rFonts w:ascii="仿宋" w:hAnsi="仿宋" w:eastAsia="仿宋" w:cs="仿宋"/>
          <w:color w:val="333333"/>
          <w:sz w:val="32"/>
          <w:szCs w:val="32"/>
        </w:rPr>
      </w:pPr>
      <w:r>
        <w:rPr>
          <w:rFonts w:hint="eastAsia" w:ascii="仿宋" w:hAnsi="仿宋" w:eastAsia="仿宋" w:cs="仿宋"/>
          <w:b/>
          <w:bCs/>
          <w:color w:val="333333"/>
          <w:kern w:val="0"/>
          <w:sz w:val="32"/>
          <w:szCs w:val="32"/>
          <w:shd w:val="clear" w:color="auto" w:fill="FFFFFF"/>
          <w:lang w:bidi="ar"/>
        </w:rPr>
        <w:t>基本支出</w:t>
      </w:r>
      <w:r>
        <w:rPr>
          <w:rFonts w:hint="eastAsia" w:ascii="仿宋" w:hAnsi="仿宋" w:eastAsia="仿宋" w:cs="仿宋"/>
          <w:color w:val="333333"/>
          <w:kern w:val="0"/>
          <w:sz w:val="32"/>
          <w:szCs w:val="32"/>
          <w:shd w:val="clear" w:color="auto" w:fill="FFFFFF"/>
          <w:lang w:bidi="ar"/>
        </w:rPr>
        <w:t>：指为保障机构正常运转、完成日常工作任务而发生的各项支出，包括人员支出和公用支出。  </w:t>
      </w:r>
    </w:p>
    <w:p>
      <w:pPr>
        <w:widowControl/>
        <w:shd w:val="clear" w:color="auto" w:fill="FFFFFF"/>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　　</w:t>
      </w:r>
      <w:r>
        <w:rPr>
          <w:rFonts w:hint="eastAsia" w:ascii="仿宋" w:hAnsi="仿宋" w:eastAsia="仿宋" w:cs="仿宋"/>
          <w:b/>
          <w:bCs/>
          <w:color w:val="333333"/>
          <w:kern w:val="0"/>
          <w:sz w:val="32"/>
          <w:szCs w:val="32"/>
          <w:shd w:val="clear" w:color="auto" w:fill="FFFFFF"/>
          <w:lang w:bidi="ar"/>
        </w:rPr>
        <w:t>项目支出</w:t>
      </w:r>
      <w:r>
        <w:rPr>
          <w:rFonts w:hint="eastAsia" w:ascii="仿宋" w:hAnsi="仿宋" w:eastAsia="仿宋" w:cs="仿宋"/>
          <w:color w:val="333333"/>
          <w:kern w:val="0"/>
          <w:sz w:val="32"/>
          <w:szCs w:val="32"/>
          <w:shd w:val="clear" w:color="auto" w:fill="FFFFFF"/>
          <w:lang w:bidi="ar"/>
        </w:rPr>
        <w:t>：指在基本支出以外为完成相关行政任务和事业发展目标所发生的各项支出。  </w:t>
      </w:r>
    </w:p>
    <w:p>
      <w:pPr>
        <w:widowControl/>
        <w:shd w:val="clear" w:color="auto" w:fill="FFFFFF"/>
        <w:jc w:val="left"/>
        <w:rPr>
          <w:rFonts w:ascii="仿宋" w:hAnsi="仿宋" w:eastAsia="仿宋" w:cs="仿宋"/>
          <w:color w:val="333333"/>
          <w:sz w:val="32"/>
          <w:szCs w:val="32"/>
        </w:rPr>
      </w:pPr>
      <w:r>
        <w:rPr>
          <w:rFonts w:hint="eastAsia" w:ascii="仿宋" w:hAnsi="仿宋" w:eastAsia="仿宋" w:cs="仿宋"/>
          <w:color w:val="333333"/>
          <w:kern w:val="0"/>
          <w:sz w:val="32"/>
          <w:szCs w:val="32"/>
          <w:shd w:val="clear" w:color="auto" w:fill="FFFFFF"/>
          <w:lang w:bidi="ar"/>
        </w:rPr>
        <w:t>　　</w:t>
      </w:r>
      <w:r>
        <w:rPr>
          <w:rFonts w:hint="eastAsia" w:ascii="仿宋" w:hAnsi="仿宋" w:eastAsia="仿宋" w:cs="仿宋"/>
          <w:b/>
          <w:bCs/>
          <w:color w:val="333333"/>
          <w:kern w:val="0"/>
          <w:sz w:val="32"/>
          <w:szCs w:val="32"/>
          <w:shd w:val="clear" w:color="auto" w:fill="FFFFFF"/>
          <w:lang w:bidi="ar"/>
        </w:rPr>
        <w:t>“三公”经费</w:t>
      </w:r>
      <w:r>
        <w:rPr>
          <w:rFonts w:hint="eastAsia" w:ascii="仿宋" w:hAnsi="仿宋" w:eastAsia="仿宋" w:cs="仿宋"/>
          <w:color w:val="333333"/>
          <w:kern w:val="0"/>
          <w:sz w:val="32"/>
          <w:szCs w:val="32"/>
          <w:shd w:val="clear" w:color="auto" w:fill="FFFFFF"/>
          <w:lang w:bidi="ar"/>
        </w:rPr>
        <w:t>：指通过财政拨款资金安排的因公出国（境）费、公务用车购置及运行费和公务接待费支出。  </w:t>
      </w:r>
    </w:p>
    <w:p>
      <w:pPr>
        <w:widowControl/>
        <w:shd w:val="clear" w:color="auto" w:fill="FFFFFF"/>
        <w:spacing w:line="600" w:lineRule="atLeast"/>
        <w:ind w:firstLine="643" w:firstLineChars="200"/>
        <w:jc w:val="left"/>
        <w:rPr>
          <w:rFonts w:ascii="方正小标宋_GBK" w:hAnsi="方正小标宋_GBK" w:eastAsia="方正小标宋_GBK" w:cs="方正小标宋_GBK"/>
          <w:sz w:val="48"/>
          <w:szCs w:val="48"/>
          <w:shd w:val="clear" w:color="auto" w:fill="FFFFFF"/>
        </w:rPr>
      </w:pPr>
      <w:r>
        <w:rPr>
          <w:rFonts w:hint="eastAsia" w:ascii="仿宋" w:hAnsi="仿宋" w:eastAsia="仿宋" w:cs="仿宋"/>
          <w:b/>
          <w:bCs/>
          <w:color w:val="333333"/>
          <w:kern w:val="0"/>
          <w:sz w:val="32"/>
          <w:szCs w:val="32"/>
          <w:shd w:val="clear" w:color="auto" w:fill="FFFFFF"/>
          <w:lang w:bidi="ar"/>
        </w:rPr>
        <w:t>机关运行经费</w:t>
      </w:r>
      <w:r>
        <w:rPr>
          <w:rFonts w:hint="eastAsia" w:ascii="仿宋" w:hAnsi="仿宋" w:eastAsia="仿宋" w:cs="仿宋"/>
          <w:color w:val="333333"/>
          <w:kern w:val="0"/>
          <w:sz w:val="32"/>
          <w:szCs w:val="32"/>
          <w:shd w:val="clear" w:color="auto" w:fill="FFFFFF"/>
          <w:lang w:bidi="ar"/>
        </w:rPr>
        <w:t>：是指各部门的公用经费，包括办公及印刷费、邮电费、差旅费、会议费、福利费、日常维修费、专用材料及一般设备购置费、办公用房水电费、办公用房取暖费、办公用房物业管理费、公务用车运行维护费以及其他费用。</w:t>
      </w:r>
    </w:p>
    <w:p/>
    <w:sectPr>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03F3BD-E730-44BF-AB3A-BDA03B2D668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embedRegular r:id="rId2" w:fontKey="{DD0D071A-B7FE-4B01-B043-D1629C35BC3E}"/>
  </w:font>
  <w:font w:name="方正小标宋_GBK">
    <w:altName w:val="微软雅黑"/>
    <w:panose1 w:val="00000000000000000000"/>
    <w:charset w:val="86"/>
    <w:family w:val="auto"/>
    <w:pitch w:val="default"/>
    <w:sig w:usb0="00000000" w:usb1="00000000" w:usb2="00082016" w:usb3="00000000" w:csb0="00040001" w:csb1="00000000"/>
    <w:embedRegular r:id="rId3" w:fontKey="{5C701D1E-088B-4D6F-A4FF-55E5595229E1}"/>
  </w:font>
  <w:font w:name="仿宋">
    <w:panose1 w:val="02010609060101010101"/>
    <w:charset w:val="86"/>
    <w:family w:val="modern"/>
    <w:pitch w:val="default"/>
    <w:sig w:usb0="800002BF" w:usb1="38CF7CFA" w:usb2="00000016" w:usb3="00000000" w:csb0="00040001" w:csb1="00000000"/>
    <w:embedRegular r:id="rId4" w:fontKey="{83EBB636-47C0-4B7F-8730-AC7EC2F9847C}"/>
  </w:font>
  <w:font w:name="方正仿宋_GB2312">
    <w:altName w:val="仿宋"/>
    <w:panose1 w:val="00000000000000000000"/>
    <w:charset w:val="86"/>
    <w:family w:val="auto"/>
    <w:pitch w:val="default"/>
    <w:sig w:usb0="00000000" w:usb1="00000000" w:usb2="00000012" w:usb3="00000000" w:csb0="00040001" w:csb1="00000000"/>
    <w:embedRegular r:id="rId5" w:fontKey="{A118BC83-998A-4B7B-988A-8C2B2A4B5EEA}"/>
  </w:font>
  <w:font w:name="仿宋_GB2312">
    <w:altName w:val="仿宋"/>
    <w:panose1 w:val="00000000000000000000"/>
    <w:charset w:val="86"/>
    <w:family w:val="modern"/>
    <w:pitch w:val="default"/>
    <w:sig w:usb0="00000000" w:usb1="00000000" w:usb2="00000000" w:usb3="00000000" w:csb0="00040000" w:csb1="00000000"/>
    <w:embedRegular r:id="rId6" w:fontKey="{FFAE3435-584E-4236-9861-3966C3C6B5E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DC6FB4"/>
    <w:multiLevelType w:val="singleLevel"/>
    <w:tmpl w:val="F0DC6FB4"/>
    <w:lvl w:ilvl="0" w:tentative="0">
      <w:start w:val="1"/>
      <w:numFmt w:val="chineseCounting"/>
      <w:suff w:val="nothing"/>
      <w:lvlText w:val="%1、"/>
      <w:lvlJc w:val="left"/>
      <w:rPr>
        <w:rFonts w:hint="eastAsia"/>
      </w:rPr>
    </w:lvl>
  </w:abstractNum>
  <w:abstractNum w:abstractNumId="1">
    <w:nsid w:val="3697D423"/>
    <w:multiLevelType w:val="singleLevel"/>
    <w:tmpl w:val="3697D423"/>
    <w:lvl w:ilvl="0" w:tentative="0">
      <w:start w:val="8"/>
      <w:numFmt w:val="chineseCounting"/>
      <w:suff w:val="nothing"/>
      <w:lvlText w:val="（%1）"/>
      <w:lvlJc w:val="left"/>
      <w:rPr>
        <w:rFonts w:hint="eastAsia"/>
      </w:rPr>
    </w:lvl>
  </w:abstractNum>
  <w:abstractNum w:abstractNumId="2">
    <w:nsid w:val="43A55693"/>
    <w:multiLevelType w:val="singleLevel"/>
    <w:tmpl w:val="43A55693"/>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F35558"/>
    <w:rsid w:val="00432082"/>
    <w:rsid w:val="004A4125"/>
    <w:rsid w:val="00A37AB2"/>
    <w:rsid w:val="00F04E56"/>
    <w:rsid w:val="07FA1B78"/>
    <w:rsid w:val="36AE471F"/>
    <w:rsid w:val="3AF35558"/>
    <w:rsid w:val="61F32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325</Words>
  <Characters>1856</Characters>
  <Lines>15</Lines>
  <Paragraphs>4</Paragraphs>
  <TotalTime>77</TotalTime>
  <ScaleCrop>false</ScaleCrop>
  <LinksUpToDate>false</LinksUpToDate>
  <CharactersWithSpaces>2177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2020-02-11T07:56:00Z</dcterms:created>
  <dc:creator>zy乐嬴</dc:creator>
  <cp:lastModifiedBy>秋叶</cp:lastModifiedBy>
  <dcterms:modified xsi:type="dcterms:W3CDTF">2020-08-31T01:21:40Z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