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283D064">
      <w:pPr>
        <w:pStyle w:val="2"/>
        <w:keepNext/>
        <w:keepLines/>
        <w:pageBreakBefore/>
        <w:widowControl w:val="0"/>
        <w:kinsoku/>
        <w:wordWrap/>
        <w:overflowPunct/>
        <w:topLinePunct w:val="0"/>
        <w:autoSpaceDE/>
        <w:autoSpaceDN/>
        <w:bidi w:val="0"/>
        <w:adjustRightInd/>
        <w:snapToGrid/>
        <w:spacing w:after="157" w:afterLines="50"/>
        <w:textAlignment w:val="auto"/>
        <w:rPr>
          <w:rFonts w:hint="eastAsia" w:ascii="宋体" w:hAnsi="宋体" w:eastAsia="宋体" w:cs="Times New Roman"/>
          <w:color w:val="auto"/>
          <w:sz w:val="32"/>
          <w:szCs w:val="22"/>
          <w:highlight w:val="none"/>
        </w:rPr>
      </w:pPr>
      <w:bookmarkStart w:id="2" w:name="_GoBack"/>
      <w:bookmarkStart w:id="0" w:name="_Toc157521589"/>
      <w:bookmarkStart w:id="1" w:name="_Toc256000013"/>
      <w:r>
        <w:rPr>
          <w:rFonts w:hint="eastAsia" w:ascii="宋体" w:hAnsi="宋体" w:eastAsia="宋体" w:cs="Times New Roman"/>
          <w:color w:val="auto"/>
          <w:sz w:val="32"/>
          <w:szCs w:val="22"/>
          <w:highlight w:val="none"/>
        </w:rPr>
        <w:t>第四章  采购需求</w:t>
      </w:r>
      <w:bookmarkEnd w:id="0"/>
      <w:bookmarkEnd w:id="1"/>
    </w:p>
    <w:p w14:paraId="322130CE">
      <w:pPr>
        <w:keepNext w:val="0"/>
        <w:keepLines w:val="0"/>
        <w:pageBreakBefore w:val="0"/>
        <w:widowControl/>
        <w:numPr>
          <w:ilvl w:val="0"/>
          <w:numId w:val="1"/>
        </w:numPr>
        <w:kinsoku/>
        <w:wordWrap/>
        <w:overflowPunct/>
        <w:topLinePunct w:val="0"/>
        <w:autoSpaceDE/>
        <w:autoSpaceDN/>
        <w:bidi w:val="0"/>
        <w:adjustRightInd/>
        <w:snapToGrid/>
        <w:jc w:val="center"/>
        <w:textAlignment w:val="auto"/>
        <w:rPr>
          <w:rFonts w:hint="eastAsia" w:ascii="宋体" w:hAnsi="宋体" w:eastAsia="宋体" w:cs="宋体"/>
          <w:b/>
          <w:bCs/>
          <w:color w:val="auto"/>
          <w:spacing w:val="30"/>
          <w:kern w:val="0"/>
          <w:sz w:val="30"/>
          <w:szCs w:val="30"/>
        </w:rPr>
      </w:pPr>
      <w:r>
        <w:rPr>
          <w:rFonts w:hint="eastAsia" w:ascii="宋体" w:hAnsi="宋体" w:eastAsia="宋体" w:cs="宋体"/>
          <w:b/>
          <w:bCs/>
          <w:color w:val="auto"/>
          <w:spacing w:val="30"/>
          <w:kern w:val="0"/>
          <w:sz w:val="30"/>
          <w:szCs w:val="30"/>
        </w:rPr>
        <w:t>技术要求</w:t>
      </w:r>
    </w:p>
    <w:p w14:paraId="6F6C7EC2">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eastAsia="宋体" w:cs="Times New Roman"/>
          <w:color w:val="auto"/>
          <w:lang w:eastAsia="zh-CN"/>
        </w:rPr>
      </w:pPr>
      <w:r>
        <w:rPr>
          <w:rFonts w:hint="eastAsia" w:ascii="宋体" w:hAnsi="宋体" w:eastAsia="宋体" w:cs="宋体"/>
          <w:b/>
          <w:bCs/>
          <w:color w:val="auto"/>
          <w:sz w:val="24"/>
          <w:szCs w:val="24"/>
          <w:lang w:val="en-US" w:eastAsia="zh-CN"/>
        </w:rPr>
        <w:t>一、采购清单一览表</w:t>
      </w:r>
    </w:p>
    <w:tbl>
      <w:tblPr>
        <w:tblStyle w:val="5"/>
        <w:tblW w:w="90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8"/>
        <w:gridCol w:w="1569"/>
        <w:gridCol w:w="1569"/>
        <w:gridCol w:w="1762"/>
        <w:gridCol w:w="1725"/>
        <w:gridCol w:w="1592"/>
      </w:tblGrid>
      <w:tr w14:paraId="753538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1" w:hRule="atLeast"/>
          <w:jc w:val="center"/>
        </w:trPr>
        <w:tc>
          <w:tcPr>
            <w:tcW w:w="848" w:type="dxa"/>
            <w:noWrap w:val="0"/>
            <w:vAlign w:val="center"/>
          </w:tcPr>
          <w:p w14:paraId="4760BAC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包号</w:t>
            </w:r>
          </w:p>
        </w:tc>
        <w:tc>
          <w:tcPr>
            <w:tcW w:w="1569" w:type="dxa"/>
            <w:noWrap w:val="0"/>
            <w:vAlign w:val="center"/>
          </w:tcPr>
          <w:p w14:paraId="0DED2C9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服务名称</w:t>
            </w:r>
          </w:p>
        </w:tc>
        <w:tc>
          <w:tcPr>
            <w:tcW w:w="1569" w:type="dxa"/>
            <w:noWrap w:val="0"/>
            <w:vAlign w:val="center"/>
          </w:tcPr>
          <w:p w14:paraId="33F2EEF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撒施地点</w:t>
            </w:r>
          </w:p>
        </w:tc>
        <w:tc>
          <w:tcPr>
            <w:tcW w:w="1762" w:type="dxa"/>
            <w:noWrap w:val="0"/>
            <w:vAlign w:val="center"/>
          </w:tcPr>
          <w:p w14:paraId="674DBBE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撒施面积</w:t>
            </w:r>
            <w:r>
              <w:rPr>
                <w:rFonts w:hint="eastAsia" w:cs="Times New Roman"/>
                <w:color w:val="auto"/>
                <w:kern w:val="2"/>
                <w:sz w:val="24"/>
                <w:szCs w:val="24"/>
                <w:lang w:val="en-US" w:eastAsia="zh-CN" w:bidi="ar-SA"/>
              </w:rPr>
              <w:t>（</w:t>
            </w:r>
            <w:r>
              <w:rPr>
                <w:rFonts w:hint="eastAsia" w:eastAsia="宋体" w:cs="Times New Roman"/>
                <w:color w:val="auto"/>
                <w:sz w:val="24"/>
                <w:szCs w:val="24"/>
                <w:vertAlign w:val="baseline"/>
                <w:lang w:val="en-US" w:eastAsia="zh-CN"/>
              </w:rPr>
              <w:t>亩</w:t>
            </w:r>
            <w:r>
              <w:rPr>
                <w:rFonts w:hint="eastAsia" w:cs="Times New Roman"/>
                <w:color w:val="auto"/>
                <w:kern w:val="2"/>
                <w:sz w:val="24"/>
                <w:szCs w:val="24"/>
                <w:lang w:val="en-US" w:eastAsia="zh-CN" w:bidi="ar-SA"/>
              </w:rPr>
              <w:t>）</w:t>
            </w:r>
          </w:p>
        </w:tc>
        <w:tc>
          <w:tcPr>
            <w:tcW w:w="1725" w:type="dxa"/>
            <w:noWrap w:val="0"/>
            <w:vAlign w:val="center"/>
          </w:tcPr>
          <w:p w14:paraId="639A2DE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撒施用量</w:t>
            </w:r>
          </w:p>
        </w:tc>
        <w:tc>
          <w:tcPr>
            <w:tcW w:w="1592" w:type="dxa"/>
            <w:noWrap w:val="0"/>
            <w:vAlign w:val="center"/>
          </w:tcPr>
          <w:p w14:paraId="600E665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单价上限值</w:t>
            </w:r>
          </w:p>
        </w:tc>
      </w:tr>
      <w:tr w14:paraId="111F9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jc w:val="center"/>
        </w:trPr>
        <w:tc>
          <w:tcPr>
            <w:tcW w:w="848" w:type="dxa"/>
            <w:vMerge w:val="restart"/>
            <w:noWrap w:val="0"/>
            <w:vAlign w:val="center"/>
          </w:tcPr>
          <w:p w14:paraId="07C8A4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包1</w:t>
            </w:r>
          </w:p>
        </w:tc>
        <w:tc>
          <w:tcPr>
            <w:tcW w:w="1569" w:type="dxa"/>
            <w:vMerge w:val="restart"/>
            <w:noWrap w:val="0"/>
            <w:vAlign w:val="center"/>
          </w:tcPr>
          <w:p w14:paraId="1D04574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r>
              <w:rPr>
                <w:rFonts w:hint="eastAsia" w:eastAsia="宋体" w:cs="Times New Roman"/>
                <w:color w:val="auto"/>
                <w:sz w:val="24"/>
                <w:szCs w:val="24"/>
                <w:vertAlign w:val="baseline"/>
                <w:lang w:val="en-US" w:eastAsia="zh-CN"/>
              </w:rPr>
              <w:t>生石灰采购及撒施服务</w:t>
            </w:r>
          </w:p>
        </w:tc>
        <w:tc>
          <w:tcPr>
            <w:tcW w:w="1569" w:type="dxa"/>
            <w:noWrap w:val="0"/>
            <w:vAlign w:val="center"/>
          </w:tcPr>
          <w:p w14:paraId="67CF3C2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板市乡</w:t>
            </w:r>
          </w:p>
        </w:tc>
        <w:tc>
          <w:tcPr>
            <w:tcW w:w="1762" w:type="dxa"/>
            <w:noWrap w:val="0"/>
            <w:vAlign w:val="center"/>
          </w:tcPr>
          <w:p w14:paraId="01867E8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restart"/>
            <w:noWrap w:val="0"/>
            <w:vAlign w:val="center"/>
          </w:tcPr>
          <w:p w14:paraId="4571F02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100公斤/亩</w:t>
            </w:r>
          </w:p>
        </w:tc>
        <w:tc>
          <w:tcPr>
            <w:tcW w:w="1592" w:type="dxa"/>
            <w:vMerge w:val="restart"/>
            <w:noWrap w:val="0"/>
            <w:vAlign w:val="center"/>
          </w:tcPr>
          <w:p w14:paraId="05A905B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120元/亩</w:t>
            </w:r>
          </w:p>
        </w:tc>
      </w:tr>
      <w:tr w14:paraId="52A40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0B3830B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p>
        </w:tc>
        <w:tc>
          <w:tcPr>
            <w:tcW w:w="1569" w:type="dxa"/>
            <w:vMerge w:val="continue"/>
            <w:noWrap w:val="0"/>
            <w:vAlign w:val="center"/>
          </w:tcPr>
          <w:p w14:paraId="0AA64B7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5B49384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岣嵝乡</w:t>
            </w:r>
          </w:p>
        </w:tc>
        <w:tc>
          <w:tcPr>
            <w:tcW w:w="1762" w:type="dxa"/>
            <w:noWrap w:val="0"/>
            <w:vAlign w:val="center"/>
          </w:tcPr>
          <w:p w14:paraId="659FB83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3CED0CC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3103ECF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065B8E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848" w:type="dxa"/>
            <w:vMerge w:val="continue"/>
            <w:noWrap w:val="0"/>
            <w:vAlign w:val="center"/>
          </w:tcPr>
          <w:p w14:paraId="3FCCB82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p>
        </w:tc>
        <w:tc>
          <w:tcPr>
            <w:tcW w:w="1569" w:type="dxa"/>
            <w:vMerge w:val="continue"/>
            <w:noWrap w:val="0"/>
            <w:vAlign w:val="center"/>
          </w:tcPr>
          <w:p w14:paraId="7553395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0DEDEE6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集兵镇</w:t>
            </w:r>
          </w:p>
        </w:tc>
        <w:tc>
          <w:tcPr>
            <w:tcW w:w="1762" w:type="dxa"/>
            <w:noWrap w:val="0"/>
            <w:vAlign w:val="center"/>
          </w:tcPr>
          <w:p w14:paraId="6DF2F5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750</w:t>
            </w:r>
          </w:p>
        </w:tc>
        <w:tc>
          <w:tcPr>
            <w:tcW w:w="1725" w:type="dxa"/>
            <w:vMerge w:val="continue"/>
            <w:noWrap w:val="0"/>
            <w:vAlign w:val="center"/>
          </w:tcPr>
          <w:p w14:paraId="730DED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1F4F008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160CD1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8AFBFF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p>
        </w:tc>
        <w:tc>
          <w:tcPr>
            <w:tcW w:w="1569" w:type="dxa"/>
            <w:vMerge w:val="continue"/>
            <w:noWrap w:val="0"/>
            <w:vAlign w:val="center"/>
          </w:tcPr>
          <w:p w14:paraId="0D4AFC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2664158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杉桥镇</w:t>
            </w:r>
          </w:p>
        </w:tc>
        <w:tc>
          <w:tcPr>
            <w:tcW w:w="1762" w:type="dxa"/>
            <w:noWrap w:val="0"/>
            <w:vAlign w:val="center"/>
          </w:tcPr>
          <w:p w14:paraId="2B3A4E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1248919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5C2BD73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6259AB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F8EB3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p>
        </w:tc>
        <w:tc>
          <w:tcPr>
            <w:tcW w:w="1569" w:type="dxa"/>
            <w:vMerge w:val="continue"/>
            <w:noWrap w:val="0"/>
            <w:vAlign w:val="center"/>
          </w:tcPr>
          <w:p w14:paraId="1EEC59F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5C205E7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岘山镇</w:t>
            </w:r>
          </w:p>
        </w:tc>
        <w:tc>
          <w:tcPr>
            <w:tcW w:w="1762" w:type="dxa"/>
            <w:noWrap w:val="0"/>
            <w:vAlign w:val="center"/>
          </w:tcPr>
          <w:p w14:paraId="4E40BD3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1250</w:t>
            </w:r>
          </w:p>
        </w:tc>
        <w:tc>
          <w:tcPr>
            <w:tcW w:w="1725" w:type="dxa"/>
            <w:vMerge w:val="continue"/>
            <w:noWrap w:val="0"/>
            <w:vAlign w:val="center"/>
          </w:tcPr>
          <w:p w14:paraId="34FD33F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4C9DF73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6F4C25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39476CB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p>
        </w:tc>
        <w:tc>
          <w:tcPr>
            <w:tcW w:w="1569" w:type="dxa"/>
            <w:vMerge w:val="continue"/>
            <w:noWrap w:val="0"/>
            <w:vAlign w:val="center"/>
          </w:tcPr>
          <w:p w14:paraId="064D113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6BBE2FE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樟木乡</w:t>
            </w:r>
          </w:p>
        </w:tc>
        <w:tc>
          <w:tcPr>
            <w:tcW w:w="1762" w:type="dxa"/>
            <w:noWrap w:val="0"/>
            <w:vAlign w:val="center"/>
          </w:tcPr>
          <w:p w14:paraId="6E84C2B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1000</w:t>
            </w:r>
          </w:p>
        </w:tc>
        <w:tc>
          <w:tcPr>
            <w:tcW w:w="1725" w:type="dxa"/>
            <w:vMerge w:val="continue"/>
            <w:noWrap w:val="0"/>
            <w:vAlign w:val="center"/>
          </w:tcPr>
          <w:p w14:paraId="329FC51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33D064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5AC124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298F678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eastAsia="宋体" w:cs="Times New Roman"/>
                <w:color w:val="auto"/>
                <w:sz w:val="24"/>
                <w:szCs w:val="24"/>
                <w:lang w:val="en-US"/>
              </w:rPr>
            </w:pPr>
          </w:p>
        </w:tc>
        <w:tc>
          <w:tcPr>
            <w:tcW w:w="1569" w:type="dxa"/>
            <w:vMerge w:val="continue"/>
            <w:noWrap w:val="0"/>
            <w:vAlign w:val="center"/>
          </w:tcPr>
          <w:p w14:paraId="531A22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078AB32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樟树乡</w:t>
            </w:r>
          </w:p>
        </w:tc>
        <w:tc>
          <w:tcPr>
            <w:tcW w:w="1762" w:type="dxa"/>
            <w:noWrap w:val="0"/>
            <w:vAlign w:val="center"/>
          </w:tcPr>
          <w:p w14:paraId="3CF2577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74B8C95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4872510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71AE93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restart"/>
            <w:noWrap w:val="0"/>
            <w:vAlign w:val="center"/>
          </w:tcPr>
          <w:p w14:paraId="1A0F362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Calibri" w:hAnsi="Calibri" w:eastAsia="宋体" w:cs="Times New Roman"/>
                <w:color w:val="auto"/>
                <w:kern w:val="2"/>
                <w:sz w:val="24"/>
                <w:szCs w:val="24"/>
                <w:lang w:val="en-US" w:eastAsia="zh-CN" w:bidi="ar-SA"/>
              </w:rPr>
            </w:pPr>
            <w:r>
              <w:rPr>
                <w:rFonts w:hint="eastAsia" w:eastAsia="宋体" w:cs="Times New Roman"/>
                <w:color w:val="auto"/>
                <w:sz w:val="24"/>
                <w:szCs w:val="24"/>
                <w:vertAlign w:val="baseline"/>
                <w:lang w:val="en-US" w:eastAsia="zh-CN"/>
              </w:rPr>
              <w:t>包2</w:t>
            </w:r>
          </w:p>
        </w:tc>
        <w:tc>
          <w:tcPr>
            <w:tcW w:w="1569" w:type="dxa"/>
            <w:vMerge w:val="restart"/>
            <w:noWrap w:val="0"/>
            <w:vAlign w:val="center"/>
          </w:tcPr>
          <w:p w14:paraId="2CB46B1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r>
              <w:rPr>
                <w:rFonts w:hint="eastAsia" w:eastAsia="宋体" w:cs="Times New Roman"/>
                <w:color w:val="auto"/>
                <w:sz w:val="24"/>
                <w:szCs w:val="24"/>
                <w:vertAlign w:val="baseline"/>
                <w:lang w:val="en-US" w:eastAsia="zh-CN"/>
              </w:rPr>
              <w:t>生石灰采购及撒施服务</w:t>
            </w:r>
          </w:p>
        </w:tc>
        <w:tc>
          <w:tcPr>
            <w:tcW w:w="1569" w:type="dxa"/>
            <w:noWrap w:val="0"/>
            <w:vAlign w:val="center"/>
          </w:tcPr>
          <w:p w14:paraId="3ADF96B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大安乡</w:t>
            </w:r>
          </w:p>
        </w:tc>
        <w:tc>
          <w:tcPr>
            <w:tcW w:w="1762" w:type="dxa"/>
            <w:noWrap w:val="0"/>
            <w:vAlign w:val="center"/>
          </w:tcPr>
          <w:p w14:paraId="183D09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restart"/>
            <w:noWrap w:val="0"/>
            <w:vAlign w:val="center"/>
          </w:tcPr>
          <w:p w14:paraId="738884A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100公斤/亩</w:t>
            </w:r>
          </w:p>
        </w:tc>
        <w:tc>
          <w:tcPr>
            <w:tcW w:w="1592" w:type="dxa"/>
            <w:vMerge w:val="restart"/>
            <w:noWrap w:val="0"/>
            <w:vAlign w:val="center"/>
          </w:tcPr>
          <w:p w14:paraId="6D61EB5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lang w:val="en-US" w:eastAsia="zh-CN"/>
              </w:rPr>
            </w:pPr>
            <w:r>
              <w:rPr>
                <w:rFonts w:hint="eastAsia" w:eastAsia="宋体" w:cs="Times New Roman"/>
                <w:color w:val="auto"/>
                <w:sz w:val="24"/>
                <w:szCs w:val="24"/>
                <w:vertAlign w:val="baseline"/>
                <w:lang w:val="en-US" w:eastAsia="zh-CN"/>
              </w:rPr>
              <w:t>120元/亩</w:t>
            </w:r>
          </w:p>
        </w:tc>
      </w:tr>
      <w:tr w14:paraId="67007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8B25C1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Calibri" w:hAnsi="Calibri" w:eastAsia="宋体" w:cs="Times New Roman"/>
                <w:color w:val="auto"/>
                <w:kern w:val="2"/>
                <w:sz w:val="24"/>
                <w:szCs w:val="24"/>
                <w:lang w:val="en-US" w:eastAsia="zh-CN" w:bidi="ar-SA"/>
              </w:rPr>
            </w:pPr>
          </w:p>
        </w:tc>
        <w:tc>
          <w:tcPr>
            <w:tcW w:w="1569" w:type="dxa"/>
            <w:vMerge w:val="continue"/>
            <w:noWrap w:val="0"/>
            <w:vAlign w:val="center"/>
          </w:tcPr>
          <w:p w14:paraId="7297D98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2781C30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洪市镇</w:t>
            </w:r>
          </w:p>
        </w:tc>
        <w:tc>
          <w:tcPr>
            <w:tcW w:w="1762" w:type="dxa"/>
            <w:noWrap w:val="0"/>
            <w:vAlign w:val="center"/>
          </w:tcPr>
          <w:p w14:paraId="5D35AA7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250F0EF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0FBA9FF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7768AA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13E2D5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5830987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6EA674C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金兰镇</w:t>
            </w:r>
          </w:p>
        </w:tc>
        <w:tc>
          <w:tcPr>
            <w:tcW w:w="1762" w:type="dxa"/>
            <w:noWrap w:val="0"/>
            <w:vAlign w:val="center"/>
          </w:tcPr>
          <w:p w14:paraId="45E3C6A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1500</w:t>
            </w:r>
          </w:p>
        </w:tc>
        <w:tc>
          <w:tcPr>
            <w:tcW w:w="1725" w:type="dxa"/>
            <w:vMerge w:val="continue"/>
            <w:noWrap w:val="0"/>
            <w:vAlign w:val="center"/>
          </w:tcPr>
          <w:p w14:paraId="1930A43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1E536BB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4281E8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99DEEE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08BAFFD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2EEAB32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井头镇</w:t>
            </w:r>
          </w:p>
        </w:tc>
        <w:tc>
          <w:tcPr>
            <w:tcW w:w="1762" w:type="dxa"/>
            <w:noWrap w:val="0"/>
            <w:vAlign w:val="center"/>
          </w:tcPr>
          <w:p w14:paraId="3D01511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253100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26B606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4D78AF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79389D6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1C24235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76C695F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库宗桥镇</w:t>
            </w:r>
          </w:p>
        </w:tc>
        <w:tc>
          <w:tcPr>
            <w:tcW w:w="1762" w:type="dxa"/>
            <w:noWrap w:val="0"/>
            <w:vAlign w:val="center"/>
          </w:tcPr>
          <w:p w14:paraId="375B1BD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01788E4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433F34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781103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848" w:type="dxa"/>
            <w:vMerge w:val="continue"/>
            <w:noWrap w:val="0"/>
            <w:vAlign w:val="center"/>
          </w:tcPr>
          <w:p w14:paraId="5101EA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22FB75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577FF9F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栏垅乡</w:t>
            </w:r>
          </w:p>
        </w:tc>
        <w:tc>
          <w:tcPr>
            <w:tcW w:w="1762" w:type="dxa"/>
            <w:noWrap w:val="0"/>
            <w:vAlign w:val="center"/>
          </w:tcPr>
          <w:p w14:paraId="110D10C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65F8148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2213CCE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2410F1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9FAE7C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153F7A8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4A19B0A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曲兰镇</w:t>
            </w:r>
          </w:p>
        </w:tc>
        <w:tc>
          <w:tcPr>
            <w:tcW w:w="1762" w:type="dxa"/>
            <w:noWrap w:val="0"/>
            <w:vAlign w:val="center"/>
          </w:tcPr>
          <w:p w14:paraId="2D60E38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31419B3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1AFDABC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31B42C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48" w:type="dxa"/>
            <w:vMerge w:val="continue"/>
            <w:noWrap w:val="0"/>
            <w:vAlign w:val="center"/>
          </w:tcPr>
          <w:p w14:paraId="1A47216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0693C06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5384B2B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演陂镇</w:t>
            </w:r>
          </w:p>
        </w:tc>
        <w:tc>
          <w:tcPr>
            <w:tcW w:w="1762" w:type="dxa"/>
            <w:noWrap w:val="0"/>
            <w:vAlign w:val="center"/>
          </w:tcPr>
          <w:p w14:paraId="38E8DE9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392A2C8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71A51FE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1169B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restart"/>
            <w:noWrap w:val="0"/>
            <w:vAlign w:val="center"/>
          </w:tcPr>
          <w:p w14:paraId="408BDE1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包3</w:t>
            </w:r>
          </w:p>
        </w:tc>
        <w:tc>
          <w:tcPr>
            <w:tcW w:w="1569" w:type="dxa"/>
            <w:vMerge w:val="restart"/>
            <w:noWrap w:val="0"/>
            <w:vAlign w:val="center"/>
          </w:tcPr>
          <w:p w14:paraId="484845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r>
              <w:rPr>
                <w:rFonts w:hint="eastAsia" w:eastAsia="宋体" w:cs="Times New Roman"/>
                <w:color w:val="auto"/>
                <w:sz w:val="24"/>
                <w:szCs w:val="24"/>
                <w:vertAlign w:val="baseline"/>
                <w:lang w:val="en-US" w:eastAsia="zh-CN"/>
              </w:rPr>
              <w:t>生石灰采购及撒施服务</w:t>
            </w:r>
          </w:p>
        </w:tc>
        <w:tc>
          <w:tcPr>
            <w:tcW w:w="1569" w:type="dxa"/>
            <w:noWrap w:val="0"/>
            <w:vAlign w:val="center"/>
          </w:tcPr>
          <w:p w14:paraId="46FD49C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关市镇</w:t>
            </w:r>
          </w:p>
        </w:tc>
        <w:tc>
          <w:tcPr>
            <w:tcW w:w="1762" w:type="dxa"/>
            <w:noWrap w:val="0"/>
            <w:vAlign w:val="center"/>
          </w:tcPr>
          <w:p w14:paraId="6300452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750</w:t>
            </w:r>
          </w:p>
        </w:tc>
        <w:tc>
          <w:tcPr>
            <w:tcW w:w="1725" w:type="dxa"/>
            <w:vMerge w:val="restart"/>
            <w:noWrap w:val="0"/>
            <w:vAlign w:val="center"/>
          </w:tcPr>
          <w:p w14:paraId="2E405AF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100公斤/亩</w:t>
            </w:r>
          </w:p>
        </w:tc>
        <w:tc>
          <w:tcPr>
            <w:tcW w:w="1592" w:type="dxa"/>
            <w:vMerge w:val="restart"/>
            <w:noWrap w:val="0"/>
            <w:vAlign w:val="center"/>
          </w:tcPr>
          <w:p w14:paraId="30F91E7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120元/亩</w:t>
            </w:r>
          </w:p>
        </w:tc>
      </w:tr>
      <w:tr w14:paraId="18937D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6962C97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135DFFD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4BC0CB9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三湖镇</w:t>
            </w:r>
          </w:p>
        </w:tc>
        <w:tc>
          <w:tcPr>
            <w:tcW w:w="1762" w:type="dxa"/>
            <w:noWrap w:val="0"/>
            <w:vAlign w:val="center"/>
          </w:tcPr>
          <w:p w14:paraId="55F469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750</w:t>
            </w:r>
          </w:p>
        </w:tc>
        <w:tc>
          <w:tcPr>
            <w:tcW w:w="1725" w:type="dxa"/>
            <w:vMerge w:val="continue"/>
            <w:noWrap w:val="0"/>
            <w:vAlign w:val="center"/>
          </w:tcPr>
          <w:p w14:paraId="226B5A2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3443920A">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484499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572832F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54075F0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4D5B806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石市镇</w:t>
            </w:r>
          </w:p>
        </w:tc>
        <w:tc>
          <w:tcPr>
            <w:tcW w:w="1762" w:type="dxa"/>
            <w:noWrap w:val="0"/>
            <w:vAlign w:val="center"/>
          </w:tcPr>
          <w:p w14:paraId="00E264A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01889F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4C5F73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36D01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897634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6B89ECE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74E7D3C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台源镇</w:t>
            </w:r>
          </w:p>
        </w:tc>
        <w:tc>
          <w:tcPr>
            <w:tcW w:w="1762" w:type="dxa"/>
            <w:noWrap w:val="0"/>
            <w:vAlign w:val="center"/>
          </w:tcPr>
          <w:p w14:paraId="00E50CB4">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1BB4224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03905799">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33DEFA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46EDC19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66E4A6D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7401A41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西渡镇</w:t>
            </w:r>
          </w:p>
        </w:tc>
        <w:tc>
          <w:tcPr>
            <w:tcW w:w="1762" w:type="dxa"/>
            <w:noWrap w:val="0"/>
            <w:vAlign w:val="center"/>
          </w:tcPr>
          <w:p w14:paraId="53320A0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1000</w:t>
            </w:r>
          </w:p>
        </w:tc>
        <w:tc>
          <w:tcPr>
            <w:tcW w:w="1725" w:type="dxa"/>
            <w:vMerge w:val="continue"/>
            <w:noWrap w:val="0"/>
            <w:vAlign w:val="center"/>
          </w:tcPr>
          <w:p w14:paraId="05098AF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522F2F3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2C653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15" w:hRule="atLeast"/>
          <w:jc w:val="center"/>
        </w:trPr>
        <w:tc>
          <w:tcPr>
            <w:tcW w:w="848" w:type="dxa"/>
            <w:vMerge w:val="continue"/>
            <w:noWrap w:val="0"/>
            <w:vAlign w:val="center"/>
          </w:tcPr>
          <w:p w14:paraId="5211BE60">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7498C34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5805136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溪江乡</w:t>
            </w:r>
          </w:p>
        </w:tc>
        <w:tc>
          <w:tcPr>
            <w:tcW w:w="1762" w:type="dxa"/>
            <w:noWrap w:val="0"/>
            <w:vAlign w:val="center"/>
          </w:tcPr>
          <w:p w14:paraId="0C499A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500</w:t>
            </w:r>
          </w:p>
        </w:tc>
        <w:tc>
          <w:tcPr>
            <w:tcW w:w="1725" w:type="dxa"/>
            <w:vMerge w:val="continue"/>
            <w:noWrap w:val="0"/>
            <w:vAlign w:val="center"/>
          </w:tcPr>
          <w:p w14:paraId="0F47BCF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499F5EC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r w14:paraId="7D860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848" w:type="dxa"/>
            <w:vMerge w:val="continue"/>
            <w:noWrap w:val="0"/>
            <w:vAlign w:val="center"/>
          </w:tcPr>
          <w:p w14:paraId="58FF927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69" w:type="dxa"/>
            <w:vMerge w:val="continue"/>
            <w:noWrap w:val="0"/>
            <w:vAlign w:val="center"/>
          </w:tcPr>
          <w:p w14:paraId="7AAA81E6">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eastAsia="宋体" w:cs="Times New Roman"/>
                <w:color w:val="auto"/>
                <w:sz w:val="24"/>
                <w:szCs w:val="24"/>
              </w:rPr>
            </w:pPr>
          </w:p>
        </w:tc>
        <w:tc>
          <w:tcPr>
            <w:tcW w:w="1569" w:type="dxa"/>
            <w:noWrap w:val="0"/>
            <w:vAlign w:val="center"/>
          </w:tcPr>
          <w:p w14:paraId="2629D77E">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渣江镇</w:t>
            </w:r>
          </w:p>
        </w:tc>
        <w:tc>
          <w:tcPr>
            <w:tcW w:w="1762" w:type="dxa"/>
            <w:noWrap w:val="0"/>
            <w:vAlign w:val="center"/>
          </w:tcPr>
          <w:p w14:paraId="0D63FD3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r>
              <w:rPr>
                <w:rFonts w:hint="eastAsia" w:eastAsia="宋体" w:cs="Times New Roman"/>
                <w:color w:val="auto"/>
                <w:sz w:val="24"/>
                <w:szCs w:val="24"/>
                <w:vertAlign w:val="baseline"/>
                <w:lang w:val="en-US" w:eastAsia="zh-CN"/>
              </w:rPr>
              <w:t>1000</w:t>
            </w:r>
          </w:p>
        </w:tc>
        <w:tc>
          <w:tcPr>
            <w:tcW w:w="1725" w:type="dxa"/>
            <w:vMerge w:val="continue"/>
            <w:noWrap w:val="0"/>
            <w:vAlign w:val="center"/>
          </w:tcPr>
          <w:p w14:paraId="4F083A5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c>
          <w:tcPr>
            <w:tcW w:w="1592" w:type="dxa"/>
            <w:vMerge w:val="continue"/>
            <w:noWrap w:val="0"/>
            <w:vAlign w:val="center"/>
          </w:tcPr>
          <w:p w14:paraId="6EC4D6A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eastAsia="宋体" w:cs="Times New Roman"/>
                <w:color w:val="auto"/>
                <w:sz w:val="24"/>
                <w:szCs w:val="24"/>
                <w:vertAlign w:val="baseline"/>
                <w:lang w:val="en-US" w:eastAsia="zh-CN"/>
              </w:rPr>
            </w:pPr>
          </w:p>
        </w:tc>
      </w:tr>
    </w:tbl>
    <w:p w14:paraId="64A30AD1">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二、技术参数和质量要求</w:t>
      </w:r>
    </w:p>
    <w:p w14:paraId="4C5C275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default" w:ascii="Calibri" w:hAnsi="Calibri" w:eastAsia="宋体" w:cs="Times New Roman"/>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w:t>
      </w:r>
      <w:r>
        <w:rPr>
          <w:rFonts w:hint="eastAsia" w:ascii="Calibri" w:hAnsi="Calibri" w:eastAsia="宋体" w:cs="Times New Roman"/>
          <w:color w:val="auto"/>
          <w:kern w:val="2"/>
          <w:sz w:val="24"/>
          <w:szCs w:val="24"/>
          <w:lang w:val="en-US" w:eastAsia="zh-CN" w:bidi="ar-SA"/>
        </w:rPr>
        <w:t>1、产品性能及质量应符合：生石灰产品的氧化钙 (CaO) 含量大于或等于80%、细度为80%，通过10目标准筛，汞含量小于或等于2mg/kg、砷含量小于或等于10mg/kg、镉含量小于或等于1mg/kg、铅含量小于或等于30mg/kg、铬含量小于或等于30mg/kg。（需提供承诺函</w:t>
      </w:r>
      <w:r>
        <w:rPr>
          <w:rFonts w:hint="eastAsia" w:eastAsia="宋体" w:cs="Times New Roman"/>
          <w:color w:val="auto"/>
          <w:kern w:val="2"/>
          <w:sz w:val="24"/>
          <w:szCs w:val="24"/>
          <w:lang w:val="en-US" w:eastAsia="zh-CN" w:bidi="ar-SA"/>
        </w:rPr>
        <w:t>并加盖投标人公章</w:t>
      </w:r>
      <w:r>
        <w:rPr>
          <w:rFonts w:hint="eastAsia" w:ascii="Calibri" w:hAnsi="Calibri" w:eastAsia="宋体" w:cs="Times New Roman"/>
          <w:color w:val="auto"/>
          <w:kern w:val="2"/>
          <w:sz w:val="24"/>
          <w:szCs w:val="24"/>
          <w:lang w:val="en-US" w:eastAsia="zh-CN" w:bidi="ar-SA"/>
        </w:rPr>
        <w:t>）</w:t>
      </w:r>
    </w:p>
    <w:p w14:paraId="6AB556F7">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2、产品均应按25 kg/包（允许±0.5 kg/包的偏差）标准保护措施进行包装（内包装采样双层薄膜，外包装标示产品名称、氧化钙含量和无害化指标），以确保产品安全无损运抵指定现场。由于包装防护措施不妥而引起的损坏、丢失由中标人负责。</w:t>
      </w:r>
    </w:p>
    <w:p w14:paraId="0240239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三、实施服务要求</w:t>
      </w:r>
    </w:p>
    <w:p w14:paraId="2A367D8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1、施用时期：签订采购合同后两个月内完成撒施工作。</w:t>
      </w:r>
    </w:p>
    <w:p w14:paraId="028DF66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2、施用方法：</w:t>
      </w:r>
      <w:r>
        <w:rPr>
          <w:rFonts w:hint="eastAsia" w:ascii="Calibri" w:hAnsi="Calibri" w:eastAsia="宋体" w:cs="Times New Roman"/>
          <w:color w:val="auto"/>
          <w:kern w:val="2"/>
          <w:sz w:val="24"/>
          <w:szCs w:val="24"/>
          <w:lang w:val="en-US" w:eastAsia="zh-CN" w:bidi="ar-SA"/>
        </w:rPr>
        <w:t>必须机械化施用，石灰撒施设备为精量石灰撒施机。要求石灰撒施均匀、精量、不污染环境。</w:t>
      </w:r>
    </w:p>
    <w:p w14:paraId="2DF973C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3、注意事项 ：</w:t>
      </w:r>
    </w:p>
    <w:p w14:paraId="52AEE8C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（1）施用时间间隔。施用生石灰后，种植户可开始翻耕，间隔5-7天移栽。</w:t>
      </w:r>
    </w:p>
    <w:p w14:paraId="5A6D2C0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安全措施。人工操作时必须佩戴防护工具，如乳胶手套、防尘口罩和套鞋等，防止田间撒施时因石灰遇水灼伤手脚以及石灰粉尘被吸入呼吸道灼伤呼吸系统。若施工人员出现因施用石灰造成皮肤灼伤等症状，应及时送医院进行救治。</w:t>
      </w:r>
    </w:p>
    <w:p w14:paraId="208D8FD0">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（3）生石灰施用避免与氮肥、有机肥等同时施用，确保肥效。</w:t>
      </w:r>
    </w:p>
    <w:p w14:paraId="0DF1148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（4）撒施用量：100公斤/亩。</w:t>
      </w:r>
    </w:p>
    <w:p w14:paraId="75151C58">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四、供货要求</w:t>
      </w:r>
    </w:p>
    <w:p w14:paraId="3A732E0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1、中标人保证出卖给采购人的产品或产品任何部分非他人所有或与他人共有，未设有抵押权、租赁权，未侵犯他人的专利权、版权、商标权等知识产权。一旦出现侵权，卖方应承担全部责任。</w:t>
      </w:r>
    </w:p>
    <w:p w14:paraId="2FBEADC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2、产品质量与包装</w:t>
      </w:r>
    </w:p>
    <w:p w14:paraId="1B89679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（1）单证齐全：应有产品合格证（或质量证明）、发票和其它应具有的单证；</w:t>
      </w:r>
    </w:p>
    <w:p w14:paraId="2213B73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（2）产品质量应符合中华人民共和国国家安全质量标准、环保标准、行业标准或货物来源国官方标准；</w:t>
      </w:r>
    </w:p>
    <w:p w14:paraId="0FD3D22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3、货物为原厂商未启封全新包装，序列号、包装箱号与出厂批号一致，并可追索查阅。</w:t>
      </w:r>
    </w:p>
    <w:p w14:paraId="2982193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4、产品运输、保险及其他</w:t>
      </w:r>
    </w:p>
    <w:p w14:paraId="0AB7C30F">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（1）中标人负责产品到施工地点的全部运输，包括转运、装卸及现场搬运等。</w:t>
      </w:r>
    </w:p>
    <w:p w14:paraId="75D7CA4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（2）中标人负责材料设备在施工地点的保管，直至项目验收合格。</w:t>
      </w:r>
    </w:p>
    <w:p w14:paraId="0F10902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（3）中标人负责组织人员进行施撒，负责其派出、聘请的施工人员的人身安全及人身意外保险。</w:t>
      </w:r>
    </w:p>
    <w:p w14:paraId="0280800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（4）中标人在作业过程中不得将产品泄漏、污染、破坏其他环境。</w:t>
      </w:r>
    </w:p>
    <w:p w14:paraId="2D0EFBD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5、售后服务</w:t>
      </w:r>
    </w:p>
    <w:p w14:paraId="0FDD618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（1）项目实施期间提供24小时的技术咨询服务，紧急情况需4小时内 到达现场处理。</w:t>
      </w:r>
    </w:p>
    <w:p w14:paraId="7218D50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（2）重要农业生产时期、节假日须提供技术人员值守服务。</w:t>
      </w:r>
    </w:p>
    <w:p w14:paraId="3FBFB20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★五、报价要求</w:t>
      </w:r>
    </w:p>
    <w:p w14:paraId="30A77FC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both"/>
        <w:textAlignment w:val="auto"/>
        <w:rPr>
          <w:rFonts w:hint="eastAsia" w:eastAsia="宋体" w:cs="Times New Roman"/>
          <w:color w:val="auto"/>
          <w:sz w:val="24"/>
          <w:szCs w:val="24"/>
          <w:lang w:val="en-US" w:eastAsia="zh-CN"/>
        </w:rPr>
      </w:pPr>
      <w:r>
        <w:rPr>
          <w:rFonts w:hint="eastAsia" w:eastAsia="宋体" w:cs="Times New Roman"/>
          <w:color w:val="auto"/>
          <w:sz w:val="24"/>
          <w:szCs w:val="24"/>
          <w:lang w:val="en-US" w:eastAsia="zh-CN"/>
        </w:rPr>
        <w:t>《分项价格表》投标人必须按亩报价，根据项目要求和现场情况进行报价，所报单价不能超过单价上限值，单位统一为元/亩；所报总价不能超过所投分包最高限价，投标价格包含：运至合同指定地点的材料费、包装费、仓储费、运输费、保险费、装卸费、工具费、培训费、税费、产品抽样费、检测费、撒施费、人工、管理、财务等所有费用，其他事项在项目实施中出现任何遗漏，均由中标人免费提供，采购人不再支付任何费用。</w:t>
      </w:r>
    </w:p>
    <w:p w14:paraId="164067C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六、其他要求</w:t>
      </w:r>
    </w:p>
    <w:p w14:paraId="5F234AC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1、中标人在作业期间，应接受采购人、相关单位的监督管理，遵守有关规定。</w:t>
      </w:r>
    </w:p>
    <w:p w14:paraId="352E73B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2、中标人未在规定时间内完成项目作业，每推迟一天扣500元，情节严重的，采购人有权单方面解除合同。</w:t>
      </w:r>
    </w:p>
    <w:p w14:paraId="4DD5146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3、质量保修：未通过验收合格的区域，中标人应及时在工期截止日期前无偿修整完好，达到验收要求；否则不予支付相应款项，造成相关损失由中标人承担。</w:t>
      </w:r>
    </w:p>
    <w:p w14:paraId="4382D9FD">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4、投标人在投标前，若进行踏勘现场，有关费用自理，踏勘期间发生的意外自负。</w:t>
      </w:r>
    </w:p>
    <w:p w14:paraId="6ED9AE1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5、建立台账：由中标人按照省实施方案规定的制式台账模式组织制定；台账资料、 图片交采购人审核，审核不合格退回重做，两次审核不合格按合同约定条款处罚；合格的台账资料作为支付项目款项的重要依据之一。</w:t>
      </w:r>
    </w:p>
    <w:p w14:paraId="0501A8C7">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七、合同价款支付方式和条件</w:t>
      </w:r>
    </w:p>
    <w:p w14:paraId="4F2359A3">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1、中标人在合同规定的时间将任务完成后， 由中标人提出验收申请，县受污染耕地安全领导小组组织专家小组依照招标文件上的相关服务要求、有关指标和合同条款进行现场验收。</w:t>
      </w:r>
    </w:p>
    <w:p w14:paraId="77D5D9A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2、按实际实施面积结算。</w:t>
      </w:r>
    </w:p>
    <w:p w14:paraId="2264CB1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3、资金拨付方式：整个项目实施完成并在县受污染耕地安全领导小组组织专家小组验收合格后予以拨付。</w:t>
      </w:r>
    </w:p>
    <w:p w14:paraId="15AB6D63">
      <w:pPr>
        <w:keepNext w:val="0"/>
        <w:keepLines w:val="0"/>
        <w:pageBreakBefore w:val="0"/>
        <w:widowControl w:val="0"/>
        <w:kinsoku/>
        <w:wordWrap/>
        <w:overflowPunct/>
        <w:topLinePunct w:val="0"/>
        <w:autoSpaceDE/>
        <w:autoSpaceDN/>
        <w:bidi w:val="0"/>
        <w:adjustRightInd/>
        <w:snapToGrid/>
        <w:spacing w:line="440" w:lineRule="exact"/>
        <w:ind w:firstLine="482"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宋体" w:hAnsi="宋体" w:eastAsia="宋体" w:cs="宋体"/>
          <w:b/>
          <w:bCs/>
          <w:color w:val="auto"/>
          <w:kern w:val="2"/>
          <w:sz w:val="24"/>
          <w:szCs w:val="24"/>
          <w:lang w:val="en-US" w:eastAsia="zh-CN" w:bidi="ar-SA"/>
        </w:rPr>
        <w:t>八、验收要求</w:t>
      </w:r>
    </w:p>
    <w:p w14:paraId="08E86C6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1、石灰调节农艺措施，实施地块由乡镇指定实施区域，原则上必须在安全利用类耕地图斑内（黄斑区），且仅实施在水田面积上。要求作业台账及第三方监管台账按地块确认。</w:t>
      </w:r>
    </w:p>
    <w:p w14:paraId="0CE11052">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2、石灰调节农艺措施实施必须采用机械撒施作业，确保实施面积及作业安全。</w:t>
      </w:r>
    </w:p>
    <w:p w14:paraId="6942788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项目实施台账（附件1：衡阳县2025年受污染耕地安全利用项目实施作业登记表、附件2：衡阳县2025年受污染耕地安全利用项目实施面积汇总表）必须落实到地块，由实施乡镇村、组或农户签字确认，第三方监管必须逐一跟踪核实。</w:t>
      </w:r>
    </w:p>
    <w:p w14:paraId="2A73CD99">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1"/>
          <w:szCs w:val="24"/>
          <w:lang w:val="en-US" w:eastAsia="zh-CN" w:bidi="ar-SA"/>
        </w:rPr>
      </w:pPr>
      <w:r>
        <w:rPr>
          <w:rFonts w:hint="eastAsia" w:ascii="Calibri" w:hAnsi="Calibri" w:eastAsia="宋体" w:cs="Times New Roman"/>
          <w:color w:val="auto"/>
          <w:kern w:val="2"/>
          <w:sz w:val="24"/>
          <w:szCs w:val="24"/>
          <w:lang w:val="en-US" w:eastAsia="zh-CN" w:bidi="ar-SA"/>
        </w:rPr>
        <w:t>4、项目实施及项目监管必须以今日水印相机全程记录。今日水印相机必须包含以下水印：</w:t>
      </w:r>
    </w:p>
    <w:p w14:paraId="72F463F7">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项目名称：</w:t>
      </w:r>
      <w:r>
        <w:rPr>
          <w:rFonts w:hint="eastAsia" w:ascii="仿宋" w:hAnsi="仿宋" w:eastAsia="仿宋" w:cs="仿宋"/>
          <w:b w:val="0"/>
          <w:bCs w:val="0"/>
          <w:color w:val="auto"/>
          <w:sz w:val="24"/>
          <w:szCs w:val="24"/>
          <w:lang w:val="en-US" w:eastAsia="zh-CN"/>
        </w:rPr>
        <w:t>衡阳县2025年受污染耕地安全利用项目（拍摄前提前编写）</w:t>
      </w:r>
    </w:p>
    <w:p w14:paraId="014F7085">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项目区域</w:t>
      </w:r>
      <w:r>
        <w:rPr>
          <w:rFonts w:hint="eastAsia" w:ascii="仿宋" w:hAnsi="仿宋" w:eastAsia="仿宋" w:cs="仿宋"/>
          <w:b w:val="0"/>
          <w:bCs w:val="0"/>
          <w:color w:val="auto"/>
          <w:sz w:val="24"/>
          <w:szCs w:val="24"/>
          <w:lang w:val="en-US" w:eastAsia="zh-CN"/>
        </w:rPr>
        <w:t>：衡阳县     乡（镇）（拍摄前提前编写）</w:t>
      </w:r>
    </w:p>
    <w:p w14:paraId="3ED34852">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拍摄时间：</w:t>
      </w:r>
      <w:r>
        <w:rPr>
          <w:rFonts w:hint="eastAsia" w:ascii="仿宋" w:hAnsi="仿宋" w:eastAsia="仿宋" w:cs="仿宋"/>
          <w:b w:val="0"/>
          <w:bCs w:val="0"/>
          <w:color w:val="auto"/>
          <w:sz w:val="24"/>
          <w:szCs w:val="24"/>
          <w:lang w:val="en-US" w:eastAsia="zh-CN"/>
        </w:rPr>
        <w:t>相机自动生成（年.月.日+时间，拍摄前选择好格式）</w:t>
      </w:r>
    </w:p>
    <w:p w14:paraId="1D744C89">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地    点：</w:t>
      </w:r>
      <w:r>
        <w:rPr>
          <w:rFonts w:hint="eastAsia" w:ascii="仿宋" w:hAnsi="仿宋" w:eastAsia="仿宋" w:cs="仿宋"/>
          <w:b w:val="0"/>
          <w:bCs w:val="0"/>
          <w:color w:val="auto"/>
          <w:sz w:val="24"/>
          <w:szCs w:val="24"/>
          <w:lang w:val="en-US" w:eastAsia="zh-CN"/>
        </w:rPr>
        <w:t>相机自动生成</w:t>
      </w:r>
    </w:p>
    <w:p w14:paraId="6D2095D8">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经    度：</w:t>
      </w:r>
      <w:r>
        <w:rPr>
          <w:rFonts w:hint="eastAsia" w:ascii="仿宋" w:hAnsi="仿宋" w:eastAsia="仿宋" w:cs="仿宋"/>
          <w:b w:val="0"/>
          <w:bCs w:val="0"/>
          <w:color w:val="auto"/>
          <w:sz w:val="24"/>
          <w:szCs w:val="24"/>
          <w:lang w:val="en-US" w:eastAsia="zh-CN"/>
        </w:rPr>
        <w:t>112.000000（相机自动生成，拍摄前选择好格式）</w:t>
      </w:r>
    </w:p>
    <w:p w14:paraId="53E3BCCB">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default"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续    度：</w:t>
      </w:r>
      <w:r>
        <w:rPr>
          <w:rFonts w:hint="eastAsia" w:ascii="仿宋" w:hAnsi="仿宋" w:eastAsia="仿宋" w:cs="仿宋"/>
          <w:b w:val="0"/>
          <w:bCs w:val="0"/>
          <w:color w:val="auto"/>
          <w:sz w:val="24"/>
          <w:szCs w:val="24"/>
          <w:lang w:val="en-US" w:eastAsia="zh-CN"/>
        </w:rPr>
        <w:t>27.000000（相机自动生成，拍摄前选择好格式）</w:t>
      </w:r>
    </w:p>
    <w:p w14:paraId="639D4DE1">
      <w:pPr>
        <w:keepNext w:val="0"/>
        <w:keepLines w:val="0"/>
        <w:pageBreakBefore w:val="0"/>
        <w:widowControl w:val="0"/>
        <w:numPr>
          <w:ilvl w:val="0"/>
          <w:numId w:val="0"/>
        </w:numPr>
        <w:kinsoku/>
        <w:wordWrap/>
        <w:overflowPunct/>
        <w:topLinePunct w:val="0"/>
        <w:autoSpaceDE/>
        <w:autoSpaceDN/>
        <w:bidi w:val="0"/>
        <w:adjustRightInd/>
        <w:snapToGrid/>
        <w:ind w:firstLine="361" w:firstLineChars="150"/>
        <w:jc w:val="left"/>
        <w:textAlignment w:val="auto"/>
        <w:rPr>
          <w:rFonts w:hint="default" w:ascii="仿宋" w:hAnsi="仿宋" w:eastAsia="仿宋" w:cs="仿宋"/>
          <w:b w:val="0"/>
          <w:bCs w:val="0"/>
          <w:color w:val="auto"/>
          <w:sz w:val="24"/>
          <w:szCs w:val="24"/>
          <w:lang w:val="en-US" w:eastAsia="zh-CN"/>
        </w:rPr>
      </w:pPr>
      <w:r>
        <w:rPr>
          <w:rFonts w:hint="eastAsia" w:ascii="仿宋" w:hAnsi="仿宋" w:eastAsia="仿宋" w:cs="仿宋"/>
          <w:b/>
          <w:bCs/>
          <w:color w:val="auto"/>
          <w:sz w:val="24"/>
          <w:szCs w:val="24"/>
          <w:lang w:val="en-US" w:eastAsia="zh-CN"/>
        </w:rPr>
        <w:t>施工（监管）单位：</w:t>
      </w:r>
      <w:r>
        <w:rPr>
          <w:rFonts w:hint="eastAsia" w:ascii="仿宋" w:hAnsi="仿宋" w:eastAsia="仿宋" w:cs="仿宋"/>
          <w:b w:val="0"/>
          <w:bCs w:val="0"/>
          <w:color w:val="auto"/>
          <w:sz w:val="24"/>
          <w:szCs w:val="24"/>
          <w:lang w:val="en-US" w:eastAsia="zh-CN"/>
        </w:rPr>
        <w:t xml:space="preserve"> （拍摄前提前编写）</w:t>
      </w:r>
    </w:p>
    <w:p w14:paraId="39A9393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5、验收结算：第三方物资及作业服务、第三方监管验收结算均以</w:t>
      </w:r>
      <w:r>
        <w:rPr>
          <w:rFonts w:hint="eastAsia" w:ascii="Calibri" w:hAnsi="Calibri" w:eastAsia="宋体" w:cs="Times New Roman"/>
          <w:color w:val="auto"/>
          <w:kern w:val="2"/>
          <w:sz w:val="24"/>
          <w:szCs w:val="24"/>
          <w:u w:val="single"/>
          <w:lang w:val="en-US" w:eastAsia="zh-CN" w:bidi="ar-SA"/>
        </w:rPr>
        <w:t>作业登记表</w:t>
      </w:r>
      <w:r>
        <w:rPr>
          <w:rFonts w:hint="eastAsia" w:ascii="Calibri" w:hAnsi="Calibri" w:eastAsia="宋体" w:cs="Times New Roman"/>
          <w:color w:val="auto"/>
          <w:kern w:val="2"/>
          <w:sz w:val="24"/>
          <w:szCs w:val="24"/>
          <w:lang w:val="en-US" w:eastAsia="zh-CN" w:bidi="ar-SA"/>
        </w:rPr>
        <w:t>和</w:t>
      </w:r>
      <w:r>
        <w:rPr>
          <w:rFonts w:hint="eastAsia" w:ascii="Calibri" w:hAnsi="Calibri" w:eastAsia="宋体" w:cs="Times New Roman"/>
          <w:color w:val="auto"/>
          <w:kern w:val="2"/>
          <w:sz w:val="24"/>
          <w:szCs w:val="24"/>
          <w:u w:val="single"/>
          <w:lang w:val="en-US" w:eastAsia="zh-CN" w:bidi="ar-SA"/>
        </w:rPr>
        <w:t>实施面积汇总表</w:t>
      </w:r>
      <w:r>
        <w:rPr>
          <w:rFonts w:hint="eastAsia" w:ascii="Calibri" w:hAnsi="Calibri" w:eastAsia="宋体" w:cs="Times New Roman"/>
          <w:color w:val="auto"/>
          <w:kern w:val="2"/>
          <w:sz w:val="24"/>
          <w:szCs w:val="24"/>
          <w:lang w:val="en-US" w:eastAsia="zh-CN" w:bidi="ar-SA"/>
        </w:rPr>
        <w:t>及</w:t>
      </w:r>
      <w:r>
        <w:rPr>
          <w:rFonts w:hint="eastAsia" w:ascii="Calibri" w:hAnsi="Calibri" w:eastAsia="宋体" w:cs="Times New Roman"/>
          <w:color w:val="auto"/>
          <w:kern w:val="2"/>
          <w:sz w:val="24"/>
          <w:szCs w:val="24"/>
          <w:u w:val="single"/>
          <w:lang w:val="en-US" w:eastAsia="zh-CN" w:bidi="ar-SA"/>
        </w:rPr>
        <w:t>农机作业轨迹与作业面积证明</w:t>
      </w:r>
      <w:r>
        <w:rPr>
          <w:rFonts w:hint="eastAsia" w:ascii="Calibri" w:hAnsi="Calibri" w:eastAsia="宋体" w:cs="Times New Roman"/>
          <w:color w:val="auto"/>
          <w:kern w:val="2"/>
          <w:sz w:val="24"/>
          <w:szCs w:val="24"/>
          <w:lang w:val="en-US" w:eastAsia="zh-CN" w:bidi="ar-SA"/>
        </w:rPr>
        <w:t>核算结算。</w:t>
      </w:r>
    </w:p>
    <w:p w14:paraId="0E2EE103">
      <w:pPr>
        <w:keepNext w:val="0"/>
        <w:keepLines w:val="0"/>
        <w:pageBreakBefore w:val="0"/>
        <w:widowControl w:val="0"/>
        <w:numPr>
          <w:ilvl w:val="0"/>
          <w:numId w:val="0"/>
        </w:numPr>
        <w:kinsoku/>
        <w:wordWrap/>
        <w:overflowPunct/>
        <w:topLinePunct w:val="0"/>
        <w:autoSpaceDE/>
        <w:autoSpaceDN/>
        <w:bidi w:val="0"/>
        <w:adjustRightInd/>
        <w:snapToGrid/>
        <w:ind w:firstLine="482" w:firstLineChars="200"/>
        <w:jc w:val="left"/>
        <w:textAlignment w:val="auto"/>
        <w:rPr>
          <w:rFonts w:hint="eastAsia" w:ascii="仿宋" w:hAnsi="仿宋" w:eastAsia="仿宋" w:cs="仿宋"/>
          <w:b/>
          <w:bCs/>
          <w:color w:val="auto"/>
          <w:sz w:val="24"/>
          <w:szCs w:val="24"/>
          <w:lang w:val="en-US" w:eastAsia="zh-CN"/>
        </w:rPr>
      </w:pPr>
      <w:r>
        <w:rPr>
          <w:rFonts w:hint="eastAsia" w:ascii="仿宋" w:hAnsi="仿宋" w:eastAsia="仿宋" w:cs="仿宋"/>
          <w:b/>
          <w:bCs/>
          <w:color w:val="auto"/>
          <w:sz w:val="24"/>
          <w:szCs w:val="24"/>
          <w:lang w:val="en-US" w:eastAsia="zh-CN"/>
        </w:rPr>
        <w:t>注意事项：</w:t>
      </w:r>
    </w:p>
    <w:p w14:paraId="184CB1E3">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（1）作业面积必须在图斑黄色区域内，否则不予计算面积；</w:t>
      </w:r>
    </w:p>
    <w:p w14:paraId="048FC4A9">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（2）作业区域必须是水田，否则不予计算面积；</w:t>
      </w:r>
    </w:p>
    <w:p w14:paraId="529DB185">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（3）照片信息必须与点位信息一致，否则不予计算面积；</w:t>
      </w:r>
    </w:p>
    <w:p w14:paraId="5384F82E">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（4）照片水印格式必须按照要求设置，否则不予计算面积；</w:t>
      </w:r>
    </w:p>
    <w:p w14:paraId="599289C4">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eastAsia" w:ascii="仿宋" w:hAnsi="仿宋" w:eastAsia="仿宋" w:cs="仿宋"/>
          <w:b w:val="0"/>
          <w:bCs w:val="0"/>
          <w:color w:val="auto"/>
          <w:sz w:val="24"/>
          <w:szCs w:val="24"/>
          <w:lang w:val="en-US" w:eastAsia="zh-CN"/>
        </w:rPr>
      </w:pPr>
      <w:r>
        <w:rPr>
          <w:rFonts w:hint="eastAsia" w:ascii="仿宋" w:hAnsi="仿宋" w:eastAsia="仿宋" w:cs="仿宋"/>
          <w:b w:val="0"/>
          <w:bCs w:val="0"/>
          <w:color w:val="auto"/>
          <w:sz w:val="24"/>
          <w:szCs w:val="24"/>
          <w:lang w:val="en-US" w:eastAsia="zh-CN"/>
        </w:rPr>
        <w:t>（5）作业登记表必须完整，否则不予计算面积；</w:t>
      </w:r>
    </w:p>
    <w:p w14:paraId="0BDE93C6">
      <w:pPr>
        <w:keepNext w:val="0"/>
        <w:keepLines w:val="0"/>
        <w:pageBreakBefore w:val="0"/>
        <w:widowControl w:val="0"/>
        <w:numPr>
          <w:ilvl w:val="0"/>
          <w:numId w:val="0"/>
        </w:numPr>
        <w:kinsoku/>
        <w:wordWrap/>
        <w:overflowPunct/>
        <w:topLinePunct w:val="0"/>
        <w:autoSpaceDE/>
        <w:autoSpaceDN/>
        <w:bidi w:val="0"/>
        <w:adjustRightInd/>
        <w:snapToGrid/>
        <w:ind w:firstLine="480" w:firstLineChars="200"/>
        <w:jc w:val="left"/>
        <w:textAlignment w:val="auto"/>
        <w:rPr>
          <w:rFonts w:hint="default" w:ascii="Calibri" w:hAnsi="Calibri" w:eastAsia="宋体" w:cs="Times New Roman"/>
          <w:b w:val="0"/>
          <w:bCs w:val="0"/>
          <w:color w:val="auto"/>
          <w:kern w:val="2"/>
          <w:sz w:val="21"/>
          <w:szCs w:val="24"/>
          <w:lang w:val="en-US" w:eastAsia="zh-CN" w:bidi="ar-SA"/>
        </w:rPr>
      </w:pPr>
      <w:r>
        <w:rPr>
          <w:rFonts w:hint="eastAsia" w:ascii="仿宋" w:hAnsi="仿宋" w:eastAsia="仿宋" w:cs="仿宋"/>
          <w:b w:val="0"/>
          <w:bCs w:val="0"/>
          <w:color w:val="auto"/>
          <w:kern w:val="2"/>
          <w:sz w:val="24"/>
          <w:szCs w:val="24"/>
          <w:lang w:val="en-US" w:eastAsia="zh-CN" w:bidi="ar-SA"/>
        </w:rPr>
        <w:t>（6）项目实施单位必须在5月30日前提供所有作业登记表及面积汇总表，否则按实际提供的作业登记表和面积汇总表数据支付项目实施费用和监管费用。不能及时提供相关台账的必须提前申请，可以根据实际情况适当宽限，最后期限不超过6月30日。</w:t>
      </w:r>
    </w:p>
    <w:p w14:paraId="4285190E">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default"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6、其他要求</w:t>
      </w:r>
    </w:p>
    <w:p w14:paraId="747E94D2">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（1）督促和检查。项目所在乡镇（办事处）及第三方监管公司对各村进行督促落实和检查，及时掌握项目实施进展情况，确保项目按质按时完成，采购人对各乡镇（办事处）、第三方监管公司进行专项检查。</w:t>
      </w:r>
    </w:p>
    <w:p w14:paraId="48B888D5">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2）货物验收：①产品抽样送检。采购人组织人员对产品随机抽样，其样品检测结果作为中标人结算参照依据。若检验不合格，按合同约定处理，由此造成的损失由中标人负责。②包装数量验收。由项目所在乡镇（办事处）、第三方监管公司和中标人现场对产品包装 数量进行验收。</w:t>
      </w:r>
    </w:p>
    <w:p w14:paraId="7D1DC74B">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（3）施用验收：①中标人提出申请，由第三方监管公司组织对中标人产品施用情况进行验收，验收后需在台账上签字盖章。②中标人产品检验合格报告、收货凭证等作为结账依据。</w:t>
      </w:r>
    </w:p>
    <w:p w14:paraId="061EBFC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（4）中标人在进行供货、实施、验收时必须完全服从合同的规定和决议。</w:t>
      </w:r>
    </w:p>
    <w:p w14:paraId="5F4DF7B1">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（5）在验收过程中，中标人不得人为干扰验收或者有弄虚作假的行为，否则将按照相关规定追究其违法、违纪责任。</w:t>
      </w:r>
    </w:p>
    <w:p w14:paraId="3AFBD004">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（6）质量保证</w:t>
      </w:r>
    </w:p>
    <w:p w14:paraId="1F94C00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Calibri" w:hAnsi="Calibri" w:eastAsia="宋体" w:cs="Times New Roman"/>
          <w:color w:val="auto"/>
          <w:kern w:val="2"/>
          <w:sz w:val="24"/>
          <w:szCs w:val="24"/>
          <w:lang w:val="en-US" w:eastAsia="zh-CN" w:bidi="ar-SA"/>
        </w:rPr>
      </w:pPr>
      <w:r>
        <w:rPr>
          <w:rFonts w:hint="eastAsia" w:ascii="Calibri" w:hAnsi="Calibri" w:eastAsia="宋体" w:cs="Times New Roman"/>
          <w:color w:val="auto"/>
          <w:kern w:val="2"/>
          <w:sz w:val="24"/>
          <w:szCs w:val="24"/>
          <w:lang w:val="en-US" w:eastAsia="zh-CN" w:bidi="ar-SA"/>
        </w:rPr>
        <w:t>服务质量应符合上述采购人提出的标准，验收合格。作业期间，应接受招标 人、项目所在乡镇（办事处）及第三方监管公司监督管理，遵守有关规定。中标人必须按质按量按时完成采购人指令的作业，否则不予验收。</w:t>
      </w:r>
    </w:p>
    <w:p w14:paraId="34FF7A96">
      <w:pPr>
        <w:rPr>
          <w:rFonts w:hint="eastAsia" w:ascii="仿宋" w:hAnsi="仿宋" w:eastAsia="仿宋" w:cs="仿宋"/>
          <w:b/>
          <w:bCs/>
          <w:color w:val="auto"/>
          <w:kern w:val="2"/>
          <w:sz w:val="28"/>
          <w:szCs w:val="28"/>
          <w:u w:val="none"/>
          <w:lang w:val="en-US" w:eastAsia="zh-CN" w:bidi="ar-SA"/>
        </w:rPr>
      </w:pPr>
    </w:p>
    <w:p w14:paraId="624DB1E8">
      <w:pPr>
        <w:rPr>
          <w:rFonts w:hint="eastAsia" w:ascii="仿宋" w:hAnsi="仿宋" w:eastAsia="仿宋" w:cs="仿宋"/>
          <w:b/>
          <w:bCs/>
          <w:color w:val="auto"/>
          <w:kern w:val="2"/>
          <w:sz w:val="28"/>
          <w:szCs w:val="28"/>
          <w:u w:val="none"/>
          <w:lang w:val="en-US" w:eastAsia="zh-CN" w:bidi="ar-SA"/>
        </w:rPr>
      </w:pPr>
      <w:r>
        <w:rPr>
          <w:rFonts w:hint="eastAsia" w:ascii="仿宋" w:hAnsi="仿宋" w:eastAsia="仿宋" w:cs="仿宋"/>
          <w:b/>
          <w:bCs/>
          <w:color w:val="auto"/>
          <w:kern w:val="2"/>
          <w:sz w:val="28"/>
          <w:szCs w:val="28"/>
          <w:u w:val="none"/>
          <w:lang w:val="en-US" w:eastAsia="zh-CN" w:bidi="ar-SA"/>
        </w:rPr>
        <w:t xml:space="preserve">                     </w:t>
      </w:r>
    </w:p>
    <w:p w14:paraId="76369DF6">
      <w:pPr>
        <w:pStyle w:val="3"/>
        <w:rPr>
          <w:rFonts w:hint="eastAsia" w:ascii="仿宋" w:hAnsi="仿宋" w:eastAsia="仿宋" w:cs="仿宋"/>
          <w:b/>
          <w:bCs/>
          <w:color w:val="auto"/>
          <w:kern w:val="2"/>
          <w:sz w:val="28"/>
          <w:szCs w:val="28"/>
          <w:u w:val="none"/>
          <w:lang w:val="en-US" w:eastAsia="zh-CN" w:bidi="ar-SA"/>
        </w:rPr>
      </w:pPr>
    </w:p>
    <w:p w14:paraId="0010B05A">
      <w:pPr>
        <w:rPr>
          <w:rFonts w:hint="eastAsia" w:ascii="仿宋" w:hAnsi="仿宋" w:eastAsia="仿宋" w:cs="仿宋"/>
          <w:b/>
          <w:bCs/>
          <w:color w:val="auto"/>
          <w:kern w:val="2"/>
          <w:sz w:val="28"/>
          <w:szCs w:val="28"/>
          <w:u w:val="none"/>
          <w:lang w:val="en-US" w:eastAsia="zh-CN" w:bidi="ar-SA"/>
        </w:rPr>
      </w:pPr>
    </w:p>
    <w:p w14:paraId="635A5FBF">
      <w:pPr>
        <w:pStyle w:val="3"/>
        <w:rPr>
          <w:rFonts w:hint="eastAsia" w:ascii="仿宋" w:hAnsi="仿宋" w:eastAsia="仿宋" w:cs="仿宋"/>
          <w:b/>
          <w:bCs/>
          <w:color w:val="auto"/>
          <w:kern w:val="2"/>
          <w:sz w:val="28"/>
          <w:szCs w:val="28"/>
          <w:u w:val="none"/>
          <w:lang w:val="en-US" w:eastAsia="zh-CN" w:bidi="ar-SA"/>
        </w:rPr>
      </w:pPr>
    </w:p>
    <w:p w14:paraId="030F7959">
      <w:pPr>
        <w:rPr>
          <w:rFonts w:hint="eastAsia" w:ascii="仿宋" w:hAnsi="仿宋" w:eastAsia="仿宋" w:cs="仿宋"/>
          <w:b/>
          <w:bCs/>
          <w:color w:val="auto"/>
          <w:kern w:val="2"/>
          <w:sz w:val="28"/>
          <w:szCs w:val="28"/>
          <w:u w:val="none"/>
          <w:lang w:val="en-US" w:eastAsia="zh-CN" w:bidi="ar-SA"/>
        </w:rPr>
      </w:pPr>
    </w:p>
    <w:p w14:paraId="242AF232">
      <w:pPr>
        <w:pStyle w:val="3"/>
        <w:rPr>
          <w:rFonts w:hint="eastAsia" w:ascii="仿宋" w:hAnsi="仿宋" w:eastAsia="仿宋" w:cs="仿宋"/>
          <w:b/>
          <w:bCs/>
          <w:color w:val="auto"/>
          <w:kern w:val="2"/>
          <w:sz w:val="28"/>
          <w:szCs w:val="28"/>
          <w:u w:val="none"/>
          <w:lang w:val="en-US" w:eastAsia="zh-CN" w:bidi="ar-SA"/>
        </w:rPr>
      </w:pPr>
    </w:p>
    <w:p w14:paraId="697436C4">
      <w:pPr>
        <w:rPr>
          <w:rFonts w:hint="eastAsia" w:ascii="仿宋" w:hAnsi="仿宋" w:eastAsia="仿宋" w:cs="仿宋"/>
          <w:b/>
          <w:bCs/>
          <w:color w:val="auto"/>
          <w:kern w:val="2"/>
          <w:sz w:val="28"/>
          <w:szCs w:val="28"/>
          <w:u w:val="none"/>
          <w:lang w:val="en-US" w:eastAsia="zh-CN" w:bidi="ar-SA"/>
        </w:rPr>
      </w:pPr>
    </w:p>
    <w:p w14:paraId="34260A4D">
      <w:pPr>
        <w:pStyle w:val="3"/>
        <w:rPr>
          <w:rFonts w:hint="eastAsia" w:ascii="仿宋" w:hAnsi="仿宋" w:eastAsia="仿宋" w:cs="仿宋"/>
          <w:b/>
          <w:bCs/>
          <w:color w:val="auto"/>
          <w:kern w:val="2"/>
          <w:sz w:val="28"/>
          <w:szCs w:val="28"/>
          <w:u w:val="none"/>
          <w:lang w:val="en-US" w:eastAsia="zh-CN" w:bidi="ar-SA"/>
        </w:rPr>
      </w:pPr>
    </w:p>
    <w:p w14:paraId="1C203257">
      <w:pPr>
        <w:rPr>
          <w:rFonts w:hint="eastAsia" w:ascii="仿宋" w:hAnsi="仿宋" w:eastAsia="仿宋" w:cs="仿宋"/>
          <w:b/>
          <w:bCs/>
          <w:color w:val="auto"/>
          <w:kern w:val="2"/>
          <w:sz w:val="28"/>
          <w:szCs w:val="28"/>
          <w:u w:val="none"/>
          <w:lang w:val="en-US" w:eastAsia="zh-CN" w:bidi="ar-SA"/>
        </w:rPr>
      </w:pPr>
    </w:p>
    <w:p w14:paraId="1F3A2BA3">
      <w:pPr>
        <w:pStyle w:val="3"/>
        <w:rPr>
          <w:rFonts w:hint="eastAsia" w:eastAsia="宋体" w:cs="Times New Roman"/>
          <w:color w:val="auto"/>
          <w:lang w:val="en-US" w:eastAsia="zh-CN"/>
        </w:rPr>
      </w:pPr>
    </w:p>
    <w:p w14:paraId="7C2C043D">
      <w:pPr>
        <w:pStyle w:val="3"/>
        <w:rPr>
          <w:rFonts w:hint="eastAsia" w:ascii="仿宋" w:hAnsi="仿宋" w:eastAsia="仿宋" w:cs="仿宋"/>
          <w:b/>
          <w:bCs/>
          <w:color w:val="auto"/>
          <w:kern w:val="2"/>
          <w:sz w:val="28"/>
          <w:szCs w:val="28"/>
          <w:u w:val="none"/>
          <w:lang w:val="en-US" w:eastAsia="zh-CN" w:bidi="ar-SA"/>
        </w:rPr>
      </w:pPr>
    </w:p>
    <w:p w14:paraId="1D5A7D47">
      <w:pPr>
        <w:rPr>
          <w:rFonts w:hint="eastAsia" w:ascii="仿宋" w:hAnsi="仿宋" w:eastAsia="仿宋" w:cs="仿宋"/>
          <w:b/>
          <w:bCs/>
          <w:color w:val="auto"/>
          <w:kern w:val="2"/>
          <w:sz w:val="28"/>
          <w:szCs w:val="28"/>
          <w:u w:val="none"/>
          <w:lang w:val="en-US" w:eastAsia="zh-CN" w:bidi="ar-SA"/>
        </w:rPr>
      </w:pPr>
    </w:p>
    <w:p w14:paraId="4FCC528B">
      <w:pPr>
        <w:pStyle w:val="3"/>
        <w:rPr>
          <w:rFonts w:hint="eastAsia" w:eastAsia="宋体" w:cs="Times New Roman"/>
          <w:color w:val="auto"/>
          <w:lang w:val="en-US" w:eastAsia="zh-CN"/>
        </w:rPr>
      </w:pPr>
    </w:p>
    <w:p w14:paraId="62B63EA7">
      <w:pPr>
        <w:widowControl w:val="0"/>
        <w:spacing w:after="120"/>
        <w:jc w:val="both"/>
        <w:rPr>
          <w:rFonts w:ascii="Calibri" w:hAnsi="Calibri" w:eastAsia="宋体" w:cs="Times New Roman"/>
          <w:color w:val="auto"/>
          <w:kern w:val="2"/>
          <w:sz w:val="30"/>
          <w:szCs w:val="30"/>
          <w:lang w:val="en-US" w:eastAsia="zh-CN" w:bidi="ar-SA"/>
        </w:rPr>
      </w:pPr>
      <w:r>
        <w:rPr>
          <w:rFonts w:hint="eastAsia" w:ascii="仿宋" w:hAnsi="仿宋" w:eastAsia="仿宋" w:cs="仿宋"/>
          <w:b/>
          <w:bCs/>
          <w:color w:val="auto"/>
          <w:kern w:val="2"/>
          <w:sz w:val="24"/>
          <w:szCs w:val="24"/>
          <w:u w:val="none"/>
          <w:lang w:val="en-US" w:eastAsia="zh-CN" w:bidi="ar-SA"/>
        </w:rPr>
        <w:t>附件1</w:t>
      </w:r>
      <w:r>
        <w:rPr>
          <w:rFonts w:hint="eastAsia" w:ascii="仿宋" w:hAnsi="仿宋" w:eastAsia="仿宋" w:cs="仿宋"/>
          <w:color w:val="auto"/>
          <w:kern w:val="2"/>
          <w:sz w:val="32"/>
          <w:szCs w:val="32"/>
          <w:u w:val="none"/>
          <w:lang w:val="en-US" w:eastAsia="zh-CN" w:bidi="ar-SA"/>
        </w:rPr>
        <w:t>：</w:t>
      </w:r>
      <w:r>
        <w:rPr>
          <w:rFonts w:hint="eastAsia" w:ascii="仿宋" w:hAnsi="仿宋" w:eastAsia="仿宋" w:cs="仿宋"/>
          <w:b/>
          <w:bCs/>
          <w:color w:val="auto"/>
          <w:kern w:val="2"/>
          <w:sz w:val="30"/>
          <w:szCs w:val="30"/>
          <w:u w:val="none"/>
          <w:lang w:val="en-US" w:eastAsia="zh-CN" w:bidi="ar-SA"/>
        </w:rPr>
        <w:t>衡阳县2025年受污染耕地安全利用项目实施作业</w:t>
      </w:r>
      <w:r>
        <w:rPr>
          <w:rFonts w:hint="eastAsia" w:ascii="仿宋" w:hAnsi="仿宋" w:eastAsia="仿宋" w:cs="仿宋"/>
          <w:b/>
          <w:bCs/>
          <w:color w:val="auto"/>
          <w:kern w:val="2"/>
          <w:sz w:val="30"/>
          <w:szCs w:val="30"/>
          <w:lang w:val="en-US" w:eastAsia="zh-CN" w:bidi="ar-SA"/>
        </w:rPr>
        <w:t>登记表</w:t>
      </w:r>
      <w:r>
        <w:rPr>
          <w:rFonts w:hint="eastAsia" w:ascii="仿宋" w:hAnsi="仿宋" w:eastAsia="仿宋" w:cs="仿宋"/>
          <w:color w:val="auto"/>
          <w:kern w:val="2"/>
          <w:sz w:val="30"/>
          <w:szCs w:val="30"/>
          <w:lang w:val="en-US" w:eastAsia="zh-CN" w:bidi="ar-SA"/>
        </w:rPr>
        <w:t xml:space="preserve"> </w:t>
      </w:r>
    </w:p>
    <w:p w14:paraId="730D190B">
      <w:pPr>
        <w:widowControl w:val="0"/>
        <w:spacing w:after="120"/>
        <w:jc w:val="both"/>
        <w:rPr>
          <w:rFonts w:hint="eastAsia" w:ascii="Calibri" w:hAnsi="Calibri" w:eastAsia="宋体" w:cs="Times New Roman"/>
          <w:color w:val="auto"/>
          <w:kern w:val="2"/>
          <w:sz w:val="21"/>
          <w:szCs w:val="24"/>
          <w:lang w:val="en-US" w:eastAsia="zh-CN" w:bidi="ar-SA"/>
        </w:rPr>
      </w:pPr>
      <w:r>
        <w:rPr>
          <w:rFonts w:hint="eastAsia" w:ascii="仿宋" w:hAnsi="仿宋" w:eastAsia="仿宋" w:cs="仿宋"/>
          <w:color w:val="auto"/>
          <w:kern w:val="2"/>
          <w:sz w:val="24"/>
          <w:szCs w:val="24"/>
          <w:lang w:val="en-US" w:eastAsia="zh-CN" w:bidi="ar-SA"/>
        </w:rPr>
        <w:t>采样日期： 年 月 日</w:t>
      </w:r>
      <w:r>
        <w:rPr>
          <w:rFonts w:ascii="Calibri" w:hAnsi="Calibri" w:eastAsia="宋体" w:cs="Times New Roman"/>
          <w:color w:val="auto"/>
          <w:kern w:val="2"/>
          <w:sz w:val="21"/>
          <w:szCs w:val="24"/>
          <w:lang w:val="en-US" w:eastAsia="zh-CN" w:bidi="ar-SA"/>
        </w:rPr>
        <w:t xml:space="preserve"> </w:t>
      </w:r>
      <w:r>
        <w:rPr>
          <w:rFonts w:hint="eastAsia" w:ascii="Calibri" w:hAnsi="Calibri" w:eastAsia="宋体" w:cs="Times New Roman"/>
          <w:color w:val="auto"/>
          <w:kern w:val="2"/>
          <w:sz w:val="21"/>
          <w:szCs w:val="24"/>
          <w:lang w:val="en-US" w:eastAsia="zh-CN" w:bidi="ar-SA"/>
        </w:rPr>
        <w:t xml:space="preserve">     表格</w:t>
      </w:r>
      <w:r>
        <w:rPr>
          <w:rFonts w:hint="eastAsia" w:ascii="仿宋" w:hAnsi="仿宋" w:eastAsia="仿宋" w:cs="仿宋"/>
          <w:color w:val="auto"/>
          <w:kern w:val="2"/>
          <w:sz w:val="21"/>
          <w:szCs w:val="24"/>
          <w:lang w:val="en-US" w:eastAsia="zh-CN" w:bidi="ar-SA"/>
        </w:rPr>
        <w:t>编号：（年份+村行政编码+序号）</w:t>
      </w:r>
      <w:r>
        <w:rPr>
          <w:rFonts w:hint="eastAsia" w:ascii="Calibri" w:hAnsi="Calibri" w:eastAsia="宋体" w:cs="Times New Roman"/>
          <w:color w:val="auto"/>
          <w:kern w:val="2"/>
          <w:sz w:val="21"/>
          <w:szCs w:val="24"/>
          <w:lang w:val="en-US" w:eastAsia="zh-CN" w:bidi="ar-SA"/>
        </w:rPr>
        <w:t>2023-430421112246-001</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1"/>
        <w:gridCol w:w="1732"/>
        <w:gridCol w:w="715"/>
        <w:gridCol w:w="312"/>
        <w:gridCol w:w="302"/>
        <w:gridCol w:w="915"/>
        <w:gridCol w:w="644"/>
        <w:gridCol w:w="2545"/>
      </w:tblGrid>
      <w:tr w14:paraId="55AA89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676" w:type="dxa"/>
            <w:noWrap w:val="0"/>
            <w:vAlign w:val="center"/>
          </w:tcPr>
          <w:p w14:paraId="6FAC03EC">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实施地址</w:t>
            </w:r>
          </w:p>
        </w:tc>
        <w:tc>
          <w:tcPr>
            <w:tcW w:w="7266" w:type="dxa"/>
            <w:gridSpan w:val="7"/>
            <w:noWrap w:val="0"/>
            <w:vAlign w:val="center"/>
          </w:tcPr>
          <w:p w14:paraId="1D174A76">
            <w:pPr>
              <w:widowControl w:val="0"/>
              <w:spacing w:after="120"/>
              <w:jc w:val="center"/>
              <w:rPr>
                <w:rFonts w:hint="eastAsia" w:ascii="仿宋" w:hAnsi="仿宋" w:eastAsia="仿宋" w:cs="仿宋"/>
                <w:color w:val="auto"/>
                <w:kern w:val="2"/>
                <w:sz w:val="21"/>
                <w:szCs w:val="21"/>
                <w:lang w:val="en-US" w:eastAsia="zh-CN" w:bidi="ar-SA"/>
              </w:rPr>
            </w:pPr>
          </w:p>
        </w:tc>
      </w:tr>
      <w:tr w14:paraId="29DD8B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76" w:type="dxa"/>
            <w:noWrap w:val="0"/>
            <w:vAlign w:val="center"/>
          </w:tcPr>
          <w:p w14:paraId="552BDBB8">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图斑编码</w:t>
            </w:r>
          </w:p>
        </w:tc>
        <w:tc>
          <w:tcPr>
            <w:tcW w:w="2479" w:type="dxa"/>
            <w:gridSpan w:val="2"/>
            <w:noWrap w:val="0"/>
            <w:vAlign w:val="center"/>
          </w:tcPr>
          <w:p w14:paraId="7EAF977C">
            <w:pPr>
              <w:widowControl w:val="0"/>
              <w:spacing w:after="120"/>
              <w:jc w:val="center"/>
              <w:rPr>
                <w:rFonts w:hint="eastAsia" w:ascii="仿宋" w:hAnsi="仿宋" w:eastAsia="仿宋" w:cs="仿宋"/>
                <w:color w:val="auto"/>
                <w:kern w:val="2"/>
                <w:sz w:val="21"/>
                <w:szCs w:val="21"/>
                <w:lang w:val="en-US" w:eastAsia="zh-CN" w:bidi="ar-SA"/>
              </w:rPr>
            </w:pPr>
          </w:p>
        </w:tc>
        <w:tc>
          <w:tcPr>
            <w:tcW w:w="1548" w:type="dxa"/>
            <w:gridSpan w:val="3"/>
            <w:noWrap w:val="0"/>
            <w:vAlign w:val="center"/>
          </w:tcPr>
          <w:p w14:paraId="7B546B18">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种植作物</w:t>
            </w:r>
          </w:p>
        </w:tc>
        <w:tc>
          <w:tcPr>
            <w:tcW w:w="3239" w:type="dxa"/>
            <w:gridSpan w:val="2"/>
            <w:noWrap w:val="0"/>
            <w:vAlign w:val="center"/>
          </w:tcPr>
          <w:p w14:paraId="03E0BB7D">
            <w:pPr>
              <w:widowControl w:val="0"/>
              <w:spacing w:after="120"/>
              <w:jc w:val="center"/>
              <w:rPr>
                <w:rFonts w:hint="eastAsia" w:ascii="仿宋" w:hAnsi="仿宋" w:eastAsia="仿宋" w:cs="仿宋"/>
                <w:color w:val="auto"/>
                <w:kern w:val="2"/>
                <w:sz w:val="21"/>
                <w:szCs w:val="21"/>
                <w:lang w:val="en-US" w:eastAsia="zh-CN" w:bidi="ar-SA"/>
              </w:rPr>
            </w:pPr>
          </w:p>
        </w:tc>
      </w:tr>
      <w:tr w14:paraId="36BA68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8" w:hRule="atLeast"/>
        </w:trPr>
        <w:tc>
          <w:tcPr>
            <w:tcW w:w="1676" w:type="dxa"/>
            <w:noWrap w:val="0"/>
            <w:vAlign w:val="center"/>
          </w:tcPr>
          <w:p w14:paraId="08880F26">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经纬度定位</w:t>
            </w:r>
          </w:p>
        </w:tc>
        <w:tc>
          <w:tcPr>
            <w:tcW w:w="1750" w:type="dxa"/>
            <w:noWrap w:val="0"/>
            <w:vAlign w:val="center"/>
          </w:tcPr>
          <w:p w14:paraId="6E032557">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东经</w:t>
            </w:r>
          </w:p>
        </w:tc>
        <w:tc>
          <w:tcPr>
            <w:tcW w:w="1351" w:type="dxa"/>
            <w:gridSpan w:val="3"/>
            <w:noWrap w:val="0"/>
            <w:vAlign w:val="center"/>
          </w:tcPr>
          <w:p w14:paraId="48402DD1">
            <w:pPr>
              <w:widowControl w:val="0"/>
              <w:spacing w:after="120"/>
              <w:jc w:val="center"/>
              <w:rPr>
                <w:rFonts w:hint="eastAsia" w:ascii="仿宋" w:hAnsi="仿宋" w:eastAsia="仿宋" w:cs="仿宋"/>
                <w:color w:val="auto"/>
                <w:kern w:val="2"/>
                <w:sz w:val="21"/>
                <w:szCs w:val="21"/>
                <w:lang w:val="en-US" w:eastAsia="zh-CN" w:bidi="ar-SA"/>
              </w:rPr>
            </w:pPr>
          </w:p>
        </w:tc>
        <w:tc>
          <w:tcPr>
            <w:tcW w:w="1582" w:type="dxa"/>
            <w:gridSpan w:val="2"/>
            <w:noWrap w:val="0"/>
            <w:vAlign w:val="center"/>
          </w:tcPr>
          <w:p w14:paraId="2950BE28">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北纬</w:t>
            </w:r>
          </w:p>
        </w:tc>
        <w:tc>
          <w:tcPr>
            <w:tcW w:w="2583" w:type="dxa"/>
            <w:noWrap w:val="0"/>
            <w:vAlign w:val="top"/>
          </w:tcPr>
          <w:p w14:paraId="08A144A7">
            <w:pPr>
              <w:widowControl w:val="0"/>
              <w:spacing w:after="120"/>
              <w:jc w:val="center"/>
              <w:rPr>
                <w:rFonts w:hint="eastAsia" w:ascii="仿宋" w:hAnsi="仿宋" w:eastAsia="仿宋" w:cs="仿宋"/>
                <w:color w:val="auto"/>
                <w:kern w:val="2"/>
                <w:sz w:val="21"/>
                <w:szCs w:val="21"/>
                <w:lang w:val="en-US" w:eastAsia="zh-CN" w:bidi="ar-SA"/>
              </w:rPr>
            </w:pPr>
          </w:p>
        </w:tc>
      </w:tr>
      <w:tr w14:paraId="699862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trPr>
        <w:tc>
          <w:tcPr>
            <w:tcW w:w="1676" w:type="dxa"/>
            <w:vMerge w:val="restart"/>
            <w:noWrap w:val="0"/>
            <w:vAlign w:val="center"/>
          </w:tcPr>
          <w:p w14:paraId="74DC2506">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实施地块</w:t>
            </w:r>
          </w:p>
          <w:p w14:paraId="50B37EA2">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基本信息</w:t>
            </w:r>
          </w:p>
        </w:tc>
        <w:tc>
          <w:tcPr>
            <w:tcW w:w="1750" w:type="dxa"/>
            <w:noWrap w:val="0"/>
            <w:vAlign w:val="center"/>
          </w:tcPr>
          <w:p w14:paraId="0B1BC88D">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地块面积（亩）</w:t>
            </w:r>
          </w:p>
        </w:tc>
        <w:tc>
          <w:tcPr>
            <w:tcW w:w="1351" w:type="dxa"/>
            <w:gridSpan w:val="3"/>
            <w:noWrap w:val="0"/>
            <w:vAlign w:val="center"/>
          </w:tcPr>
          <w:p w14:paraId="136C13D2">
            <w:pPr>
              <w:widowControl w:val="0"/>
              <w:spacing w:after="120"/>
              <w:jc w:val="center"/>
              <w:rPr>
                <w:rFonts w:hint="eastAsia" w:ascii="仿宋" w:hAnsi="仿宋" w:eastAsia="仿宋" w:cs="仿宋"/>
                <w:color w:val="auto"/>
                <w:kern w:val="2"/>
                <w:sz w:val="21"/>
                <w:szCs w:val="21"/>
                <w:lang w:val="en-US" w:eastAsia="zh-CN" w:bidi="ar-SA"/>
              </w:rPr>
            </w:pPr>
          </w:p>
        </w:tc>
        <w:tc>
          <w:tcPr>
            <w:tcW w:w="1582" w:type="dxa"/>
            <w:gridSpan w:val="2"/>
            <w:vMerge w:val="restart"/>
            <w:noWrap w:val="0"/>
            <w:vAlign w:val="center"/>
          </w:tcPr>
          <w:p w14:paraId="7D9C4893">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采取安全</w:t>
            </w:r>
          </w:p>
          <w:p w14:paraId="3389965B">
            <w:pPr>
              <w:widowControl w:val="0"/>
              <w:spacing w:after="120"/>
              <w:jc w:val="center"/>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利用措施</w:t>
            </w:r>
          </w:p>
        </w:tc>
        <w:tc>
          <w:tcPr>
            <w:tcW w:w="2583" w:type="dxa"/>
            <w:noWrap w:val="0"/>
            <w:vAlign w:val="top"/>
          </w:tcPr>
          <w:p w14:paraId="38788289">
            <w:pPr>
              <w:widowControl w:val="0"/>
              <w:spacing w:after="12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措施种类：</w:t>
            </w:r>
          </w:p>
        </w:tc>
      </w:tr>
      <w:tr w14:paraId="081471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trPr>
        <w:tc>
          <w:tcPr>
            <w:tcW w:w="1676" w:type="dxa"/>
            <w:vMerge w:val="continue"/>
            <w:noWrap w:val="0"/>
            <w:vAlign w:val="top"/>
          </w:tcPr>
          <w:p w14:paraId="0A1B14BD">
            <w:pPr>
              <w:widowControl w:val="0"/>
              <w:spacing w:after="120"/>
              <w:jc w:val="center"/>
              <w:rPr>
                <w:rFonts w:hint="eastAsia" w:ascii="仿宋" w:hAnsi="仿宋" w:eastAsia="仿宋" w:cs="仿宋"/>
                <w:color w:val="auto"/>
                <w:kern w:val="2"/>
                <w:sz w:val="21"/>
                <w:szCs w:val="21"/>
                <w:lang w:val="en-US" w:eastAsia="zh-CN" w:bidi="ar-SA"/>
              </w:rPr>
            </w:pPr>
          </w:p>
        </w:tc>
        <w:tc>
          <w:tcPr>
            <w:tcW w:w="1750" w:type="dxa"/>
            <w:noWrap w:val="0"/>
            <w:vAlign w:val="center"/>
          </w:tcPr>
          <w:p w14:paraId="2E644FDD">
            <w:pPr>
              <w:widowControl w:val="0"/>
              <w:spacing w:after="120"/>
              <w:jc w:val="center"/>
              <w:rPr>
                <w:rFonts w:hint="default"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物资数量(吨）</w:t>
            </w:r>
          </w:p>
        </w:tc>
        <w:tc>
          <w:tcPr>
            <w:tcW w:w="1351" w:type="dxa"/>
            <w:gridSpan w:val="3"/>
            <w:noWrap w:val="0"/>
            <w:vAlign w:val="top"/>
          </w:tcPr>
          <w:p w14:paraId="2A800C8A">
            <w:pPr>
              <w:widowControl w:val="0"/>
              <w:spacing w:after="120"/>
              <w:jc w:val="center"/>
              <w:rPr>
                <w:rFonts w:hint="eastAsia" w:ascii="仿宋" w:hAnsi="仿宋" w:eastAsia="仿宋" w:cs="仿宋"/>
                <w:color w:val="auto"/>
                <w:kern w:val="2"/>
                <w:sz w:val="21"/>
                <w:szCs w:val="21"/>
                <w:lang w:val="en-US" w:eastAsia="zh-CN" w:bidi="ar-SA"/>
              </w:rPr>
            </w:pPr>
          </w:p>
        </w:tc>
        <w:tc>
          <w:tcPr>
            <w:tcW w:w="1582" w:type="dxa"/>
            <w:gridSpan w:val="2"/>
            <w:vMerge w:val="continue"/>
            <w:noWrap w:val="0"/>
            <w:vAlign w:val="top"/>
          </w:tcPr>
          <w:p w14:paraId="651A15C6">
            <w:pPr>
              <w:widowControl w:val="0"/>
              <w:spacing w:after="120"/>
              <w:jc w:val="center"/>
              <w:rPr>
                <w:rFonts w:hint="eastAsia" w:ascii="仿宋" w:hAnsi="仿宋" w:eastAsia="仿宋" w:cs="仿宋"/>
                <w:color w:val="auto"/>
                <w:kern w:val="2"/>
                <w:sz w:val="21"/>
                <w:szCs w:val="21"/>
                <w:lang w:val="en-US" w:eastAsia="zh-CN" w:bidi="ar-SA"/>
              </w:rPr>
            </w:pPr>
          </w:p>
        </w:tc>
        <w:tc>
          <w:tcPr>
            <w:tcW w:w="2583" w:type="dxa"/>
            <w:noWrap w:val="0"/>
            <w:vAlign w:val="top"/>
          </w:tcPr>
          <w:p w14:paraId="53A15086">
            <w:pPr>
              <w:widowControl w:val="0"/>
              <w:spacing w:after="12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实施时间：</w:t>
            </w:r>
          </w:p>
        </w:tc>
      </w:tr>
      <w:tr w14:paraId="15490E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7" w:hRule="atLeast"/>
        </w:trPr>
        <w:tc>
          <w:tcPr>
            <w:tcW w:w="4155" w:type="dxa"/>
            <w:gridSpan w:val="3"/>
            <w:vMerge w:val="restart"/>
            <w:noWrap w:val="0"/>
            <w:vAlign w:val="center"/>
          </w:tcPr>
          <w:p w14:paraId="79F1F7D6">
            <w:pPr>
              <w:widowControl w:val="0"/>
              <w:spacing w:after="120"/>
              <w:jc w:val="center"/>
              <w:rPr>
                <w:rFonts w:hint="eastAsia" w:ascii="Calibri" w:hAnsi="Calibri" w:eastAsia="宋体" w:cs="Times New Roman"/>
                <w:color w:val="auto"/>
                <w:kern w:val="2"/>
                <w:sz w:val="21"/>
                <w:szCs w:val="24"/>
                <w:lang w:val="en-US" w:eastAsia="zh-CN" w:bidi="ar-SA"/>
              </w:rPr>
            </w:pPr>
          </w:p>
          <w:p w14:paraId="35804743">
            <w:pPr>
              <w:widowControl w:val="0"/>
              <w:spacing w:after="120"/>
              <w:jc w:val="cente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kern w:val="2"/>
                <w:sz w:val="21"/>
                <w:szCs w:val="24"/>
                <w:lang w:val="en-US" w:eastAsia="zh-CN" w:bidi="ar-SA"/>
              </w:rPr>
              <w:t>项目实施点位示意图</w:t>
            </w:r>
          </w:p>
          <w:p w14:paraId="1DC5D21E">
            <w:pPr>
              <w:jc w:val="center"/>
              <w:rPr>
                <w:rFonts w:hint="eastAsia" w:eastAsia="仿宋" w:cs="Times New Roman"/>
                <w:color w:val="auto"/>
                <w:szCs w:val="24"/>
                <w:lang w:eastAsia="zh-CN"/>
              </w:rPr>
            </w:pPr>
            <w:r>
              <w:rPr>
                <w:rFonts w:hint="eastAsia" w:ascii="仿宋" w:hAnsi="仿宋" w:eastAsia="仿宋" w:cs="仿宋"/>
                <w:color w:val="auto"/>
                <w:sz w:val="21"/>
                <w:szCs w:val="21"/>
                <w:lang w:eastAsia="zh-CN"/>
              </w:rPr>
              <w:t>（今日水印相机，拍摄点位参照物图）</w:t>
            </w:r>
          </w:p>
        </w:tc>
        <w:tc>
          <w:tcPr>
            <w:tcW w:w="4787" w:type="dxa"/>
            <w:gridSpan w:val="5"/>
            <w:noWrap w:val="0"/>
            <w:vAlign w:val="top"/>
          </w:tcPr>
          <w:p w14:paraId="79245F03">
            <w:pPr>
              <w:widowControl w:val="0"/>
              <w:spacing w:after="12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地块承包方签字（盖章）：</w:t>
            </w:r>
          </w:p>
        </w:tc>
      </w:tr>
      <w:tr w14:paraId="1A36F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2" w:hRule="atLeast"/>
        </w:trPr>
        <w:tc>
          <w:tcPr>
            <w:tcW w:w="4155" w:type="dxa"/>
            <w:gridSpan w:val="3"/>
            <w:vMerge w:val="continue"/>
            <w:noWrap w:val="0"/>
            <w:vAlign w:val="top"/>
          </w:tcPr>
          <w:p w14:paraId="55A40973">
            <w:pPr>
              <w:widowControl w:val="0"/>
              <w:spacing w:after="120"/>
              <w:jc w:val="center"/>
              <w:rPr>
                <w:rFonts w:hint="eastAsia" w:ascii="仿宋" w:hAnsi="仿宋" w:eastAsia="仿宋" w:cs="仿宋"/>
                <w:color w:val="auto"/>
                <w:kern w:val="2"/>
                <w:sz w:val="21"/>
                <w:szCs w:val="21"/>
                <w:lang w:val="en-US" w:eastAsia="zh-CN" w:bidi="ar-SA"/>
              </w:rPr>
            </w:pPr>
          </w:p>
        </w:tc>
        <w:tc>
          <w:tcPr>
            <w:tcW w:w="4787" w:type="dxa"/>
            <w:gridSpan w:val="5"/>
            <w:noWrap w:val="0"/>
            <w:vAlign w:val="top"/>
          </w:tcPr>
          <w:p w14:paraId="5265CFE7">
            <w:pPr>
              <w:widowControl w:val="0"/>
              <w:spacing w:after="120"/>
              <w:jc w:val="both"/>
              <w:rPr>
                <w:rFonts w:hint="eastAsia" w:ascii="仿宋" w:hAnsi="仿宋" w:eastAsia="仿宋" w:cs="仿宋"/>
                <w:color w:val="auto"/>
                <w:kern w:val="2"/>
                <w:sz w:val="21"/>
                <w:szCs w:val="21"/>
                <w:lang w:val="en-US" w:eastAsia="zh-CN" w:bidi="ar-SA"/>
              </w:rPr>
            </w:pPr>
            <w:r>
              <w:rPr>
                <w:rFonts w:hint="eastAsia" w:ascii="仿宋" w:hAnsi="仿宋" w:eastAsia="仿宋" w:cs="仿宋"/>
                <w:color w:val="auto"/>
                <w:kern w:val="2"/>
                <w:sz w:val="21"/>
                <w:szCs w:val="21"/>
                <w:lang w:val="en-US" w:eastAsia="zh-CN" w:bidi="ar-SA"/>
              </w:rPr>
              <w:t>现场作业人员签字：</w:t>
            </w:r>
          </w:p>
        </w:tc>
      </w:tr>
      <w:tr w14:paraId="0D012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3" w:hRule="atLeast"/>
        </w:trPr>
        <w:tc>
          <w:tcPr>
            <w:tcW w:w="8942" w:type="dxa"/>
            <w:gridSpan w:val="8"/>
            <w:noWrap w:val="0"/>
            <w:vAlign w:val="center"/>
          </w:tcPr>
          <w:p w14:paraId="24B777A2">
            <w:pPr>
              <w:widowControl w:val="0"/>
              <w:spacing w:after="120"/>
              <w:jc w:val="center"/>
              <w:rPr>
                <w:rFonts w:hint="eastAsia" w:ascii="Calibri" w:hAnsi="Calibri" w:eastAsia="宋体" w:cs="Times New Roman"/>
                <w:color w:val="auto"/>
                <w:kern w:val="2"/>
                <w:sz w:val="21"/>
                <w:szCs w:val="24"/>
                <w:lang w:val="en-US" w:eastAsia="zh-CN" w:bidi="ar-SA"/>
              </w:rPr>
            </w:pPr>
          </w:p>
          <w:p w14:paraId="780A538A">
            <w:pPr>
              <w:widowControl w:val="0"/>
              <w:spacing w:after="120"/>
              <w:jc w:val="center"/>
              <w:rPr>
                <w:rFonts w:hint="eastAsia" w:ascii="仿宋" w:hAnsi="仿宋" w:eastAsia="仿宋" w:cs="仿宋"/>
                <w:color w:val="auto"/>
                <w:kern w:val="2"/>
                <w:sz w:val="21"/>
                <w:szCs w:val="24"/>
                <w:lang w:val="en-US" w:eastAsia="zh-CN" w:bidi="ar-SA"/>
              </w:rPr>
            </w:pPr>
            <w:r>
              <w:rPr>
                <w:rFonts w:hint="eastAsia" w:ascii="仿宋" w:hAnsi="仿宋" w:eastAsia="仿宋" w:cs="仿宋"/>
                <w:color w:val="auto"/>
                <w:kern w:val="2"/>
                <w:sz w:val="21"/>
                <w:szCs w:val="24"/>
                <w:lang w:val="en-US" w:eastAsia="zh-CN" w:bidi="ar-SA"/>
              </w:rPr>
              <w:t>照片信息</w:t>
            </w:r>
          </w:p>
          <w:p w14:paraId="40040EAE">
            <w:pPr>
              <w:jc w:val="center"/>
              <w:rPr>
                <w:rFonts w:hint="eastAsia" w:eastAsia="宋体" w:cs="Times New Roman"/>
                <w:color w:val="auto"/>
                <w:szCs w:val="24"/>
                <w:lang w:eastAsia="zh-CN"/>
              </w:rPr>
            </w:pPr>
            <w:r>
              <w:rPr>
                <w:rFonts w:hint="eastAsia" w:ascii="仿宋" w:hAnsi="仿宋" w:eastAsia="仿宋" w:cs="仿宋"/>
                <w:color w:val="auto"/>
                <w:szCs w:val="24"/>
                <w:lang w:eastAsia="zh-CN"/>
              </w:rPr>
              <w:t>（今日水印相机拍摄施工前、施工中、施工后三张照片）</w:t>
            </w:r>
          </w:p>
        </w:tc>
      </w:tr>
      <w:tr w14:paraId="120F9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73" w:hRule="atLeast"/>
        </w:trPr>
        <w:tc>
          <w:tcPr>
            <w:tcW w:w="4471" w:type="dxa"/>
            <w:gridSpan w:val="4"/>
            <w:noWrap w:val="0"/>
            <w:vAlign w:val="top"/>
          </w:tcPr>
          <w:p w14:paraId="05232AFB">
            <w:pPr>
              <w:jc w:val="both"/>
              <w:rPr>
                <w:rFonts w:hint="eastAsia" w:ascii="仿宋" w:hAnsi="仿宋" w:eastAsia="仿宋" w:cs="仿宋"/>
                <w:color w:val="auto"/>
                <w:szCs w:val="24"/>
                <w:lang w:eastAsia="zh-CN"/>
              </w:rPr>
            </w:pPr>
            <w:r>
              <w:rPr>
                <w:rFonts w:hint="eastAsia" w:ascii="仿宋" w:hAnsi="仿宋" w:eastAsia="仿宋" w:cs="仿宋"/>
                <w:color w:val="auto"/>
                <w:szCs w:val="24"/>
                <w:lang w:eastAsia="zh-CN"/>
              </w:rPr>
              <w:t>项目施工单位盖章：</w:t>
            </w:r>
          </w:p>
        </w:tc>
        <w:tc>
          <w:tcPr>
            <w:tcW w:w="4471" w:type="dxa"/>
            <w:gridSpan w:val="4"/>
            <w:noWrap w:val="0"/>
            <w:vAlign w:val="top"/>
          </w:tcPr>
          <w:p w14:paraId="1384D380">
            <w:pPr>
              <w:jc w:val="both"/>
              <w:rPr>
                <w:rFonts w:hint="eastAsia" w:ascii="仿宋" w:hAnsi="仿宋" w:eastAsia="仿宋" w:cs="仿宋"/>
                <w:color w:val="auto"/>
                <w:szCs w:val="24"/>
                <w:lang w:eastAsia="zh-CN"/>
              </w:rPr>
            </w:pPr>
            <w:r>
              <w:rPr>
                <w:rFonts w:hint="eastAsia" w:ascii="仿宋" w:hAnsi="仿宋" w:eastAsia="仿宋" w:cs="仿宋"/>
                <w:color w:val="auto"/>
                <w:szCs w:val="24"/>
                <w:lang w:eastAsia="zh-CN"/>
              </w:rPr>
              <w:t>项目监管单位盖章：</w:t>
            </w:r>
          </w:p>
        </w:tc>
      </w:tr>
    </w:tbl>
    <w:p w14:paraId="24AFB878">
      <w:pPr>
        <w:numPr>
          <w:ilvl w:val="0"/>
          <w:numId w:val="0"/>
        </w:numPr>
        <w:jc w:val="left"/>
        <w:rPr>
          <w:rFonts w:hint="eastAsia" w:ascii="仿宋" w:hAnsi="仿宋" w:eastAsia="仿宋" w:cs="仿宋"/>
          <w:color w:val="auto"/>
          <w:sz w:val="24"/>
          <w:szCs w:val="24"/>
          <w:u w:val="none"/>
          <w:lang w:eastAsia="zh-CN"/>
        </w:rPr>
        <w:sectPr>
          <w:footerReference r:id="rId3" w:type="default"/>
          <w:pgSz w:w="11906" w:h="16838"/>
          <w:pgMar w:top="1440" w:right="1686" w:bottom="1118" w:left="1620" w:header="851" w:footer="992" w:gutter="0"/>
          <w:pgNumType w:fmt="decimal" w:start="1"/>
          <w:cols w:space="720" w:num="1"/>
          <w:docGrid w:type="lines" w:linePitch="312" w:charSpace="0"/>
        </w:sectPr>
      </w:pPr>
      <w:r>
        <w:rPr>
          <w:rFonts w:hint="eastAsia" w:ascii="仿宋" w:hAnsi="仿宋" w:eastAsia="仿宋" w:cs="仿宋"/>
          <w:b/>
          <w:bCs/>
          <w:color w:val="auto"/>
          <w:sz w:val="24"/>
          <w:szCs w:val="24"/>
          <w:u w:val="none"/>
          <w:lang w:eastAsia="zh-CN"/>
        </w:rPr>
        <w:t>友情提醒：作业登记表是项目结算重要依据，</w:t>
      </w:r>
      <w:r>
        <w:rPr>
          <w:rFonts w:hint="eastAsia" w:ascii="仿宋" w:hAnsi="仿宋" w:eastAsia="仿宋" w:cs="仿宋"/>
          <w:b/>
          <w:bCs/>
          <w:color w:val="auto"/>
          <w:sz w:val="24"/>
          <w:szCs w:val="24"/>
          <w:u w:val="none"/>
          <w:lang w:val="en-US" w:eastAsia="zh-CN"/>
        </w:rPr>
        <w:t>如出现虚假数据，此页数据将不予结算，造成损失由作业实施单位与监管单位共同承担。</w:t>
      </w:r>
    </w:p>
    <w:p w14:paraId="70C07CAF">
      <w:pPr>
        <w:numPr>
          <w:ilvl w:val="0"/>
          <w:numId w:val="0"/>
        </w:numPr>
        <w:jc w:val="both"/>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24"/>
          <w:szCs w:val="24"/>
          <w:u w:val="none"/>
          <w:lang w:eastAsia="zh-CN"/>
        </w:rPr>
        <w:t>附件</w:t>
      </w:r>
      <w:r>
        <w:rPr>
          <w:rFonts w:hint="eastAsia" w:ascii="仿宋" w:hAnsi="仿宋" w:eastAsia="仿宋" w:cs="仿宋"/>
          <w:b/>
          <w:bCs/>
          <w:color w:val="auto"/>
          <w:sz w:val="24"/>
          <w:szCs w:val="24"/>
          <w:u w:val="none"/>
          <w:lang w:val="en-US" w:eastAsia="zh-CN"/>
        </w:rPr>
        <w:t>2：</w:t>
      </w:r>
      <w:r>
        <w:rPr>
          <w:rFonts w:hint="eastAsia" w:ascii="仿宋" w:hAnsi="仿宋" w:eastAsia="仿宋" w:cs="仿宋"/>
          <w:b/>
          <w:bCs/>
          <w:color w:val="auto"/>
          <w:kern w:val="2"/>
          <w:sz w:val="30"/>
          <w:szCs w:val="30"/>
          <w:u w:val="none"/>
          <w:lang w:val="en-US" w:eastAsia="zh-CN" w:bidi="ar-SA"/>
        </w:rPr>
        <w:t>衡阳县2025年受污染耕地安全利用项目实施面积汇总表</w:t>
      </w: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1"/>
        <w:gridCol w:w="1073"/>
        <w:gridCol w:w="869"/>
        <w:gridCol w:w="815"/>
        <w:gridCol w:w="1100"/>
        <w:gridCol w:w="696"/>
        <w:gridCol w:w="1019"/>
        <w:gridCol w:w="1035"/>
        <w:gridCol w:w="1991"/>
      </w:tblGrid>
      <w:tr w14:paraId="48F2C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201" w:type="dxa"/>
            <w:noWrap w:val="0"/>
            <w:vAlign w:val="center"/>
          </w:tcPr>
          <w:p w14:paraId="35D1A57F">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地块编码</w:t>
            </w:r>
          </w:p>
        </w:tc>
        <w:tc>
          <w:tcPr>
            <w:tcW w:w="1073" w:type="dxa"/>
            <w:noWrap w:val="0"/>
            <w:vAlign w:val="center"/>
          </w:tcPr>
          <w:p w14:paraId="3A2C6228">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乡（镇）村、组</w:t>
            </w:r>
          </w:p>
        </w:tc>
        <w:tc>
          <w:tcPr>
            <w:tcW w:w="869" w:type="dxa"/>
            <w:noWrap w:val="0"/>
            <w:vAlign w:val="center"/>
          </w:tcPr>
          <w:p w14:paraId="00F65286">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经度</w:t>
            </w:r>
          </w:p>
        </w:tc>
        <w:tc>
          <w:tcPr>
            <w:tcW w:w="815" w:type="dxa"/>
            <w:noWrap w:val="0"/>
            <w:vAlign w:val="center"/>
          </w:tcPr>
          <w:p w14:paraId="3AE05203">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纬度</w:t>
            </w:r>
          </w:p>
        </w:tc>
        <w:tc>
          <w:tcPr>
            <w:tcW w:w="1100" w:type="dxa"/>
            <w:noWrap w:val="0"/>
            <w:vAlign w:val="center"/>
          </w:tcPr>
          <w:p w14:paraId="4459A512">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地块面积（亩）</w:t>
            </w:r>
          </w:p>
        </w:tc>
        <w:tc>
          <w:tcPr>
            <w:tcW w:w="696" w:type="dxa"/>
            <w:noWrap w:val="0"/>
            <w:vAlign w:val="center"/>
          </w:tcPr>
          <w:p w14:paraId="32145A2E">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措施类别</w:t>
            </w:r>
          </w:p>
        </w:tc>
        <w:tc>
          <w:tcPr>
            <w:tcW w:w="1019" w:type="dxa"/>
            <w:noWrap w:val="0"/>
            <w:vAlign w:val="center"/>
          </w:tcPr>
          <w:p w14:paraId="3BB9FDF5">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实施面积（亩）</w:t>
            </w:r>
          </w:p>
        </w:tc>
        <w:tc>
          <w:tcPr>
            <w:tcW w:w="1035" w:type="dxa"/>
            <w:noWrap w:val="0"/>
            <w:vAlign w:val="center"/>
          </w:tcPr>
          <w:p w14:paraId="05167498">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物资数量（吨）</w:t>
            </w:r>
          </w:p>
        </w:tc>
        <w:tc>
          <w:tcPr>
            <w:tcW w:w="1991" w:type="dxa"/>
            <w:noWrap w:val="0"/>
            <w:vAlign w:val="center"/>
          </w:tcPr>
          <w:p w14:paraId="79A84A91">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实施面积确认</w:t>
            </w:r>
          </w:p>
        </w:tc>
      </w:tr>
      <w:tr w14:paraId="5A5FFC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201" w:type="dxa"/>
            <w:noWrap w:val="0"/>
            <w:vAlign w:val="center"/>
          </w:tcPr>
          <w:p w14:paraId="34D47271">
            <w:pPr>
              <w:widowControl w:val="0"/>
              <w:spacing w:after="120"/>
              <w:ind w:left="-199" w:leftChars="-95" w:firstLine="0" w:firstLineChars="0"/>
              <w:jc w:val="right"/>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430421211000000000</w:t>
            </w:r>
          </w:p>
        </w:tc>
        <w:tc>
          <w:tcPr>
            <w:tcW w:w="1073" w:type="dxa"/>
            <w:noWrap w:val="0"/>
            <w:vAlign w:val="center"/>
          </w:tcPr>
          <w:p w14:paraId="799BA0D7">
            <w:pPr>
              <w:widowControl w:val="0"/>
              <w:spacing w:after="120"/>
              <w:jc w:val="both"/>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 xml:space="preserve">  村 组   </w:t>
            </w:r>
          </w:p>
        </w:tc>
        <w:tc>
          <w:tcPr>
            <w:tcW w:w="869" w:type="dxa"/>
            <w:noWrap w:val="0"/>
            <w:vAlign w:val="center"/>
          </w:tcPr>
          <w:p w14:paraId="5D9471BF">
            <w:pPr>
              <w:widowControl w:val="0"/>
              <w:spacing w:after="120"/>
              <w:jc w:val="both"/>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112.000000</w:t>
            </w:r>
          </w:p>
        </w:tc>
        <w:tc>
          <w:tcPr>
            <w:tcW w:w="815" w:type="dxa"/>
            <w:noWrap w:val="0"/>
            <w:vAlign w:val="center"/>
          </w:tcPr>
          <w:p w14:paraId="1F45736F">
            <w:pPr>
              <w:widowControl w:val="0"/>
              <w:spacing w:after="120"/>
              <w:jc w:val="both"/>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27.000000</w:t>
            </w:r>
          </w:p>
        </w:tc>
        <w:tc>
          <w:tcPr>
            <w:tcW w:w="1100" w:type="dxa"/>
            <w:noWrap w:val="0"/>
            <w:vAlign w:val="center"/>
          </w:tcPr>
          <w:p w14:paraId="5388A222">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1B8A19A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358569A4">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443D58DB">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noWrap w:val="0"/>
            <w:vAlign w:val="center"/>
          </w:tcPr>
          <w:p w14:paraId="28F0669B">
            <w:pPr>
              <w:widowControl w:val="0"/>
              <w:spacing w:after="120"/>
              <w:jc w:val="both"/>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本页面积合计（亩）</w:t>
            </w:r>
          </w:p>
        </w:tc>
      </w:tr>
      <w:tr w14:paraId="7EE5CD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35CE1221">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61A7D77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1502D765">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469EC7CC">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466D706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089E03A1">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386C8835">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47C715E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noWrap w:val="0"/>
            <w:vAlign w:val="center"/>
          </w:tcPr>
          <w:p w14:paraId="3331847C">
            <w:pPr>
              <w:widowControl w:val="0"/>
              <w:spacing w:after="120"/>
              <w:jc w:val="both"/>
              <w:rPr>
                <w:rFonts w:hint="eastAsia" w:ascii="仿宋" w:hAnsi="仿宋" w:eastAsia="仿宋" w:cs="仿宋"/>
                <w:color w:val="auto"/>
                <w:kern w:val="2"/>
                <w:sz w:val="21"/>
                <w:szCs w:val="24"/>
                <w:vertAlign w:val="baseline"/>
                <w:lang w:val="en-US" w:eastAsia="zh-CN" w:bidi="ar-SA"/>
              </w:rPr>
            </w:pPr>
          </w:p>
        </w:tc>
      </w:tr>
      <w:tr w14:paraId="3823FF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jc w:val="center"/>
        </w:trPr>
        <w:tc>
          <w:tcPr>
            <w:tcW w:w="1201" w:type="dxa"/>
            <w:noWrap w:val="0"/>
            <w:vAlign w:val="center"/>
          </w:tcPr>
          <w:p w14:paraId="6A7F1106">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7FA0AB44">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27BBB86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25B01AF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3F1690AE">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26E09F4A">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518FFAE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62B5B8BC">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noWrap w:val="0"/>
            <w:vAlign w:val="center"/>
          </w:tcPr>
          <w:p w14:paraId="6A248A1E">
            <w:pPr>
              <w:widowControl w:val="0"/>
              <w:spacing w:after="120"/>
              <w:jc w:val="both"/>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作业实施单位盖章</w:t>
            </w:r>
          </w:p>
        </w:tc>
      </w:tr>
      <w:tr w14:paraId="52CCA9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64A7C2B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35E54D0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5AEA1282">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503287A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7533CC21">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63D51FB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638A66B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19D58311">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vMerge w:val="restart"/>
            <w:noWrap w:val="0"/>
            <w:vAlign w:val="center"/>
          </w:tcPr>
          <w:p w14:paraId="6F49783C">
            <w:pPr>
              <w:widowControl w:val="0"/>
              <w:spacing w:after="120"/>
              <w:jc w:val="both"/>
              <w:rPr>
                <w:rFonts w:hint="eastAsia" w:ascii="仿宋" w:hAnsi="仿宋" w:eastAsia="仿宋" w:cs="仿宋"/>
                <w:color w:val="auto"/>
                <w:kern w:val="2"/>
                <w:sz w:val="21"/>
                <w:szCs w:val="24"/>
                <w:vertAlign w:val="baseline"/>
                <w:lang w:val="en-US" w:eastAsia="zh-CN" w:bidi="ar-SA"/>
              </w:rPr>
            </w:pPr>
          </w:p>
        </w:tc>
      </w:tr>
      <w:tr w14:paraId="49E13D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63373AF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67E6065A">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3F5B4155">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77B8265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5DD1505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597A9A61">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26E45505">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091401F6">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vMerge w:val="continue"/>
            <w:noWrap w:val="0"/>
            <w:vAlign w:val="center"/>
          </w:tcPr>
          <w:p w14:paraId="09EB6D59">
            <w:pPr>
              <w:widowControl w:val="0"/>
              <w:spacing w:after="120"/>
              <w:jc w:val="both"/>
              <w:rPr>
                <w:rFonts w:hint="eastAsia" w:ascii="仿宋" w:hAnsi="仿宋" w:eastAsia="仿宋" w:cs="仿宋"/>
                <w:color w:val="auto"/>
                <w:kern w:val="2"/>
                <w:sz w:val="21"/>
                <w:szCs w:val="24"/>
                <w:vertAlign w:val="baseline"/>
                <w:lang w:val="en-US" w:eastAsia="zh-CN" w:bidi="ar-SA"/>
              </w:rPr>
            </w:pPr>
          </w:p>
        </w:tc>
      </w:tr>
      <w:tr w14:paraId="19C40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08C4916F">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0BAF9593">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6679FE09">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1E4BB28E">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65DCD59B">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1DF7229B">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2DF014A6">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4785540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vMerge w:val="continue"/>
            <w:noWrap w:val="0"/>
            <w:vAlign w:val="center"/>
          </w:tcPr>
          <w:p w14:paraId="33D95A2B">
            <w:pPr>
              <w:widowControl w:val="0"/>
              <w:spacing w:after="120"/>
              <w:jc w:val="both"/>
              <w:rPr>
                <w:rFonts w:hint="eastAsia" w:ascii="仿宋" w:hAnsi="仿宋" w:eastAsia="仿宋" w:cs="仿宋"/>
                <w:color w:val="auto"/>
                <w:kern w:val="2"/>
                <w:sz w:val="21"/>
                <w:szCs w:val="24"/>
                <w:vertAlign w:val="baseline"/>
                <w:lang w:val="en-US" w:eastAsia="zh-CN" w:bidi="ar-SA"/>
              </w:rPr>
            </w:pPr>
          </w:p>
        </w:tc>
      </w:tr>
      <w:tr w14:paraId="47E380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2A87CB13">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66C8024B">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583674D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28C79A06">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560EE91F">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72B2A055">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349C07B2">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28F7F073">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vMerge w:val="continue"/>
            <w:noWrap w:val="0"/>
            <w:vAlign w:val="center"/>
          </w:tcPr>
          <w:p w14:paraId="122FB1A9">
            <w:pPr>
              <w:widowControl w:val="0"/>
              <w:spacing w:after="120"/>
              <w:jc w:val="both"/>
              <w:rPr>
                <w:rFonts w:hint="eastAsia" w:ascii="仿宋" w:hAnsi="仿宋" w:eastAsia="仿宋" w:cs="仿宋"/>
                <w:color w:val="auto"/>
                <w:kern w:val="2"/>
                <w:sz w:val="21"/>
                <w:szCs w:val="24"/>
                <w:vertAlign w:val="baseline"/>
                <w:lang w:val="en-US" w:eastAsia="zh-CN" w:bidi="ar-SA"/>
              </w:rPr>
            </w:pPr>
          </w:p>
        </w:tc>
      </w:tr>
      <w:tr w14:paraId="281CE4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4" w:hRule="atLeast"/>
          <w:jc w:val="center"/>
        </w:trPr>
        <w:tc>
          <w:tcPr>
            <w:tcW w:w="1201" w:type="dxa"/>
            <w:noWrap w:val="0"/>
            <w:vAlign w:val="center"/>
          </w:tcPr>
          <w:p w14:paraId="0BC7557F">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14C0F9A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11E3920A">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3C3A642A">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049211CB">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2222F3A3">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6FA6C066">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35D5D0F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noWrap w:val="0"/>
            <w:vAlign w:val="center"/>
          </w:tcPr>
          <w:p w14:paraId="757D0DC9">
            <w:pPr>
              <w:widowControl w:val="0"/>
              <w:spacing w:after="120"/>
              <w:jc w:val="center"/>
              <w:rPr>
                <w:rFonts w:hint="eastAsia" w:ascii="仿宋" w:hAnsi="仿宋" w:eastAsia="仿宋" w:cs="仿宋"/>
                <w:color w:val="auto"/>
                <w:kern w:val="2"/>
                <w:sz w:val="21"/>
                <w:szCs w:val="24"/>
                <w:vertAlign w:val="baseline"/>
                <w:lang w:val="en-US" w:eastAsia="zh-CN" w:bidi="ar-SA"/>
              </w:rPr>
            </w:pPr>
            <w:r>
              <w:rPr>
                <w:rFonts w:hint="eastAsia" w:ascii="仿宋" w:hAnsi="仿宋" w:eastAsia="仿宋" w:cs="仿宋"/>
                <w:color w:val="auto"/>
                <w:kern w:val="2"/>
                <w:sz w:val="21"/>
                <w:szCs w:val="24"/>
                <w:vertAlign w:val="baseline"/>
                <w:lang w:val="en-US" w:eastAsia="zh-CN" w:bidi="ar-SA"/>
              </w:rPr>
              <w:t>监管单位盖章</w:t>
            </w:r>
          </w:p>
        </w:tc>
      </w:tr>
      <w:tr w14:paraId="0F4813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723F5DBC">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73" w:type="dxa"/>
            <w:noWrap w:val="0"/>
            <w:vAlign w:val="center"/>
          </w:tcPr>
          <w:p w14:paraId="31E6601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69" w:type="dxa"/>
            <w:noWrap w:val="0"/>
            <w:vAlign w:val="center"/>
          </w:tcPr>
          <w:p w14:paraId="08A5D19A">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815" w:type="dxa"/>
            <w:noWrap w:val="0"/>
            <w:vAlign w:val="center"/>
          </w:tcPr>
          <w:p w14:paraId="62643F1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100" w:type="dxa"/>
            <w:noWrap w:val="0"/>
            <w:vAlign w:val="center"/>
          </w:tcPr>
          <w:p w14:paraId="52024B10">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696" w:type="dxa"/>
            <w:noWrap w:val="0"/>
            <w:vAlign w:val="center"/>
          </w:tcPr>
          <w:p w14:paraId="24CCFC37">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19" w:type="dxa"/>
            <w:noWrap w:val="0"/>
            <w:vAlign w:val="center"/>
          </w:tcPr>
          <w:p w14:paraId="0131F059">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035" w:type="dxa"/>
            <w:noWrap w:val="0"/>
            <w:vAlign w:val="center"/>
          </w:tcPr>
          <w:p w14:paraId="327A88ED">
            <w:pPr>
              <w:widowControl w:val="0"/>
              <w:spacing w:after="120"/>
              <w:jc w:val="both"/>
              <w:rPr>
                <w:rFonts w:hint="eastAsia" w:ascii="仿宋" w:hAnsi="仿宋" w:eastAsia="仿宋" w:cs="仿宋"/>
                <w:color w:val="auto"/>
                <w:kern w:val="2"/>
                <w:sz w:val="21"/>
                <w:szCs w:val="24"/>
                <w:vertAlign w:val="baseline"/>
                <w:lang w:val="en-US" w:eastAsia="zh-CN" w:bidi="ar-SA"/>
              </w:rPr>
            </w:pPr>
          </w:p>
        </w:tc>
        <w:tc>
          <w:tcPr>
            <w:tcW w:w="1991" w:type="dxa"/>
            <w:vMerge w:val="restart"/>
            <w:noWrap w:val="0"/>
            <w:vAlign w:val="center"/>
          </w:tcPr>
          <w:p w14:paraId="722C1160">
            <w:pPr>
              <w:widowControl w:val="0"/>
              <w:spacing w:after="120"/>
              <w:jc w:val="both"/>
              <w:rPr>
                <w:rFonts w:hint="eastAsia" w:ascii="仿宋" w:hAnsi="仿宋" w:eastAsia="仿宋" w:cs="仿宋"/>
                <w:color w:val="auto"/>
                <w:kern w:val="2"/>
                <w:sz w:val="21"/>
                <w:szCs w:val="24"/>
                <w:vertAlign w:val="baseline"/>
                <w:lang w:val="en-US" w:eastAsia="zh-CN" w:bidi="ar-SA"/>
              </w:rPr>
            </w:pPr>
          </w:p>
        </w:tc>
      </w:tr>
      <w:tr w14:paraId="2E4209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7A9F5093">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73" w:type="dxa"/>
            <w:noWrap w:val="0"/>
            <w:vAlign w:val="center"/>
          </w:tcPr>
          <w:p w14:paraId="477EDB24">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869" w:type="dxa"/>
            <w:noWrap w:val="0"/>
            <w:vAlign w:val="center"/>
          </w:tcPr>
          <w:p w14:paraId="6D79B7B1">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815" w:type="dxa"/>
            <w:noWrap w:val="0"/>
            <w:vAlign w:val="center"/>
          </w:tcPr>
          <w:p w14:paraId="414432AD">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100" w:type="dxa"/>
            <w:noWrap w:val="0"/>
            <w:vAlign w:val="center"/>
          </w:tcPr>
          <w:p w14:paraId="14D0D166">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696" w:type="dxa"/>
            <w:noWrap w:val="0"/>
            <w:vAlign w:val="center"/>
          </w:tcPr>
          <w:p w14:paraId="4C70EB58">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19" w:type="dxa"/>
            <w:noWrap w:val="0"/>
            <w:vAlign w:val="center"/>
          </w:tcPr>
          <w:p w14:paraId="5A898904">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35" w:type="dxa"/>
            <w:noWrap w:val="0"/>
            <w:vAlign w:val="center"/>
          </w:tcPr>
          <w:p w14:paraId="1DF6A86E">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991" w:type="dxa"/>
            <w:vMerge w:val="continue"/>
            <w:noWrap w:val="0"/>
            <w:vAlign w:val="center"/>
          </w:tcPr>
          <w:p w14:paraId="31DC555F">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r>
      <w:tr w14:paraId="33202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5" w:hRule="atLeast"/>
          <w:jc w:val="center"/>
        </w:trPr>
        <w:tc>
          <w:tcPr>
            <w:tcW w:w="1201" w:type="dxa"/>
            <w:noWrap w:val="0"/>
            <w:vAlign w:val="center"/>
          </w:tcPr>
          <w:p w14:paraId="2AE5A958">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73" w:type="dxa"/>
            <w:noWrap w:val="0"/>
            <w:vAlign w:val="center"/>
          </w:tcPr>
          <w:p w14:paraId="00BEE38A">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869" w:type="dxa"/>
            <w:noWrap w:val="0"/>
            <w:vAlign w:val="center"/>
          </w:tcPr>
          <w:p w14:paraId="0F0E5B8B">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815" w:type="dxa"/>
            <w:noWrap w:val="0"/>
            <w:vAlign w:val="center"/>
          </w:tcPr>
          <w:p w14:paraId="41742C0C">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100" w:type="dxa"/>
            <w:noWrap w:val="0"/>
            <w:vAlign w:val="center"/>
          </w:tcPr>
          <w:p w14:paraId="19475D58">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696" w:type="dxa"/>
            <w:noWrap w:val="0"/>
            <w:vAlign w:val="center"/>
          </w:tcPr>
          <w:p w14:paraId="3CA8BA13">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19" w:type="dxa"/>
            <w:noWrap w:val="0"/>
            <w:vAlign w:val="center"/>
          </w:tcPr>
          <w:p w14:paraId="36700D33">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35" w:type="dxa"/>
            <w:noWrap w:val="0"/>
            <w:vAlign w:val="center"/>
          </w:tcPr>
          <w:p w14:paraId="3F1020BB">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991" w:type="dxa"/>
            <w:vMerge w:val="continue"/>
            <w:noWrap w:val="0"/>
            <w:vAlign w:val="center"/>
          </w:tcPr>
          <w:p w14:paraId="126E171E">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r>
      <w:tr w14:paraId="4954E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0" w:hRule="atLeast"/>
          <w:jc w:val="center"/>
        </w:trPr>
        <w:tc>
          <w:tcPr>
            <w:tcW w:w="1201" w:type="dxa"/>
            <w:noWrap w:val="0"/>
            <w:vAlign w:val="center"/>
          </w:tcPr>
          <w:p w14:paraId="0D744D57">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73" w:type="dxa"/>
            <w:noWrap w:val="0"/>
            <w:vAlign w:val="center"/>
          </w:tcPr>
          <w:p w14:paraId="6B01DEBA">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869" w:type="dxa"/>
            <w:noWrap w:val="0"/>
            <w:vAlign w:val="center"/>
          </w:tcPr>
          <w:p w14:paraId="2B5E7BFE">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815" w:type="dxa"/>
            <w:noWrap w:val="0"/>
            <w:vAlign w:val="center"/>
          </w:tcPr>
          <w:p w14:paraId="37CAA315">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100" w:type="dxa"/>
            <w:noWrap w:val="0"/>
            <w:vAlign w:val="center"/>
          </w:tcPr>
          <w:p w14:paraId="44C75688">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696" w:type="dxa"/>
            <w:noWrap w:val="0"/>
            <w:vAlign w:val="center"/>
          </w:tcPr>
          <w:p w14:paraId="17D5A977">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19" w:type="dxa"/>
            <w:noWrap w:val="0"/>
            <w:vAlign w:val="center"/>
          </w:tcPr>
          <w:p w14:paraId="35B90D43">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035" w:type="dxa"/>
            <w:noWrap w:val="0"/>
            <w:vAlign w:val="center"/>
          </w:tcPr>
          <w:p w14:paraId="5E17C36E">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c>
          <w:tcPr>
            <w:tcW w:w="1991" w:type="dxa"/>
            <w:vMerge w:val="continue"/>
            <w:noWrap w:val="0"/>
            <w:vAlign w:val="center"/>
          </w:tcPr>
          <w:p w14:paraId="0D104A7B">
            <w:pPr>
              <w:widowControl w:val="0"/>
              <w:spacing w:after="120"/>
              <w:jc w:val="both"/>
              <w:rPr>
                <w:rFonts w:hint="default" w:ascii="Calibri" w:hAnsi="Calibri" w:eastAsia="宋体" w:cs="Times New Roman"/>
                <w:color w:val="auto"/>
                <w:kern w:val="2"/>
                <w:sz w:val="21"/>
                <w:szCs w:val="24"/>
                <w:vertAlign w:val="baseline"/>
                <w:lang w:val="en-US" w:eastAsia="zh-CN" w:bidi="ar-SA"/>
              </w:rPr>
            </w:pPr>
          </w:p>
        </w:tc>
      </w:tr>
    </w:tbl>
    <w:p w14:paraId="7C5A3F84">
      <w:pPr>
        <w:numPr>
          <w:ilvl w:val="0"/>
          <w:numId w:val="0"/>
        </w:numPr>
        <w:jc w:val="left"/>
        <w:rPr>
          <w:rFonts w:hint="default" w:ascii="仿宋" w:hAnsi="仿宋" w:eastAsia="仿宋" w:cs="仿宋"/>
          <w:b/>
          <w:bCs/>
          <w:color w:val="auto"/>
          <w:sz w:val="24"/>
          <w:szCs w:val="24"/>
          <w:u w:val="none"/>
          <w:lang w:val="en-US" w:eastAsia="zh-CN"/>
        </w:rPr>
        <w:sectPr>
          <w:pgSz w:w="11906" w:h="16838"/>
          <w:pgMar w:top="1440" w:right="1062" w:bottom="1440" w:left="1180" w:header="851" w:footer="992" w:gutter="0"/>
          <w:pgNumType w:fmt="decimal"/>
          <w:cols w:space="720" w:num="1"/>
          <w:docGrid w:type="lines" w:linePitch="312" w:charSpace="0"/>
        </w:sectPr>
      </w:pPr>
      <w:r>
        <w:rPr>
          <w:rFonts w:hint="eastAsia" w:ascii="仿宋" w:hAnsi="仿宋" w:eastAsia="仿宋" w:cs="仿宋"/>
          <w:b/>
          <w:bCs/>
          <w:color w:val="auto"/>
          <w:sz w:val="24"/>
          <w:szCs w:val="24"/>
          <w:u w:val="none"/>
          <w:lang w:val="en-US" w:eastAsia="zh-CN"/>
        </w:rPr>
        <w:t>注意事项：此表为项目结算依据之一，如出现虚假数据或或者与登记表不一致数据，此页数据将不予结算，造成损失由作业实施单位与监管单位共同承担。</w:t>
      </w:r>
    </w:p>
    <w:p w14:paraId="722D6518">
      <w:pPr>
        <w:keepNext w:val="0"/>
        <w:keepLines w:val="0"/>
        <w:pageBreakBefore w:val="0"/>
        <w:widowControl/>
        <w:suppressLineNumbers w:val="0"/>
        <w:kinsoku/>
        <w:wordWrap/>
        <w:overflowPunct/>
        <w:topLinePunct w:val="0"/>
        <w:autoSpaceDE/>
        <w:autoSpaceDN/>
        <w:bidi w:val="0"/>
        <w:adjustRightInd/>
        <w:snapToGrid/>
        <w:spacing w:after="0"/>
        <w:jc w:val="center"/>
        <w:textAlignment w:val="auto"/>
        <w:rPr>
          <w:rFonts w:hint="eastAsia" w:ascii="宋体" w:hAnsi="宋体" w:eastAsia="宋体" w:cs="宋体"/>
          <w:b/>
          <w:bCs/>
          <w:color w:val="auto"/>
          <w:kern w:val="0"/>
          <w:sz w:val="30"/>
          <w:szCs w:val="30"/>
          <w:lang w:val="en-US" w:eastAsia="zh-CN" w:bidi="ar"/>
        </w:rPr>
      </w:pPr>
      <w:r>
        <w:rPr>
          <w:rFonts w:hint="eastAsia" w:ascii="宋体" w:hAnsi="宋体" w:eastAsia="宋体" w:cs="宋体"/>
          <w:b/>
          <w:bCs/>
          <w:color w:val="auto"/>
          <w:kern w:val="0"/>
          <w:sz w:val="30"/>
          <w:szCs w:val="30"/>
          <w:lang w:val="en-US" w:eastAsia="zh-CN" w:bidi="ar"/>
        </w:rPr>
        <w:t>第二节 商务要求</w:t>
      </w:r>
    </w:p>
    <w:p w14:paraId="06FDF009">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eastAsia="宋体" w:cs="Times New Roman"/>
          <w:color w:val="auto"/>
          <w:lang w:val="en-US" w:eastAsia="zh-CN"/>
        </w:rPr>
      </w:pPr>
      <w:r>
        <w:rPr>
          <w:rFonts w:hint="eastAsia" w:ascii="宋体" w:hAnsi="宋体" w:eastAsia="宋体" w:cs="宋体"/>
          <w:b/>
          <w:bCs/>
          <w:color w:val="auto"/>
          <w:sz w:val="24"/>
          <w:szCs w:val="24"/>
          <w:lang w:val="en-US" w:eastAsia="zh-CN"/>
        </w:rPr>
        <w:t>一、主要商务要求</w:t>
      </w:r>
    </w:p>
    <w:tbl>
      <w:tblPr>
        <w:tblStyle w:val="5"/>
        <w:tblW w:w="9299"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autofit"/>
        <w:tblCellMar>
          <w:top w:w="15" w:type="dxa"/>
          <w:left w:w="15" w:type="dxa"/>
          <w:bottom w:w="15" w:type="dxa"/>
          <w:right w:w="15" w:type="dxa"/>
        </w:tblCellMar>
      </w:tblPr>
      <w:tblGrid>
        <w:gridCol w:w="3479"/>
        <w:gridCol w:w="5820"/>
      </w:tblGrid>
      <w:tr w14:paraId="662935C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1167" w:hRule="atLeast"/>
          <w:jc w:val="center"/>
        </w:trPr>
        <w:tc>
          <w:tcPr>
            <w:tcW w:w="3479" w:type="dxa"/>
            <w:noWrap w:val="0"/>
            <w:tcMar>
              <w:top w:w="0" w:type="dxa"/>
              <w:left w:w="108" w:type="dxa"/>
              <w:bottom w:w="0" w:type="dxa"/>
              <w:right w:w="108" w:type="dxa"/>
            </w:tcMar>
            <w:vAlign w:val="center"/>
          </w:tcPr>
          <w:p w14:paraId="7A39618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lang w:eastAsia="zh-CN"/>
              </w:rPr>
              <w:t>履行合同的时间、地点及方式</w:t>
            </w:r>
          </w:p>
        </w:tc>
        <w:tc>
          <w:tcPr>
            <w:tcW w:w="5820" w:type="dxa"/>
            <w:noWrap w:val="0"/>
            <w:tcMar>
              <w:top w:w="0" w:type="dxa"/>
              <w:left w:w="108" w:type="dxa"/>
              <w:bottom w:w="0" w:type="dxa"/>
              <w:right w:w="108" w:type="dxa"/>
            </w:tcMar>
            <w:vAlign w:val="center"/>
          </w:tcPr>
          <w:p w14:paraId="5BE57CFC">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eastAsia="宋体" w:cs="Times New Roman"/>
                <w:color w:val="auto"/>
                <w:sz w:val="24"/>
                <w:szCs w:val="24"/>
                <w:lang w:val="en-US" w:eastAsia="zh-CN"/>
              </w:rPr>
            </w:pPr>
            <w:r>
              <w:rPr>
                <w:rFonts w:hint="eastAsia" w:eastAsia="宋体" w:cs="Times New Roman"/>
                <w:color w:val="auto"/>
                <w:sz w:val="24"/>
                <w:szCs w:val="24"/>
                <w:lang w:val="en-US" w:eastAsia="zh-CN"/>
              </w:rPr>
              <w:t>服务期限：签订采购合同后两个月内完成撒施工作。</w:t>
            </w:r>
          </w:p>
          <w:p w14:paraId="54A57538">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lang w:val="en-US" w:eastAsia="zh-CN"/>
              </w:rPr>
              <w:t>服务地点</w:t>
            </w:r>
            <w:r>
              <w:rPr>
                <w:rFonts w:hint="eastAsia" w:ascii="宋体" w:hAnsi="宋体" w:eastAsia="宋体" w:cs="Times New Roman"/>
                <w:color w:val="auto"/>
                <w:sz w:val="24"/>
                <w:szCs w:val="24"/>
                <w:lang w:eastAsia="zh-CN"/>
              </w:rPr>
              <w:t>：</w:t>
            </w:r>
            <w:r>
              <w:rPr>
                <w:rFonts w:hint="eastAsia" w:ascii="宋体" w:hAnsi="宋体" w:eastAsia="宋体" w:cs="Times New Roman"/>
                <w:color w:val="auto"/>
                <w:sz w:val="24"/>
                <w:szCs w:val="24"/>
                <w:lang w:val="en-US" w:eastAsia="zh-CN"/>
              </w:rPr>
              <w:t>详见采购清单一览表。</w:t>
            </w:r>
          </w:p>
        </w:tc>
      </w:tr>
      <w:tr w14:paraId="7E7F3C1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92" w:hRule="atLeast"/>
          <w:jc w:val="center"/>
        </w:trPr>
        <w:tc>
          <w:tcPr>
            <w:tcW w:w="3479" w:type="dxa"/>
            <w:noWrap w:val="0"/>
            <w:tcMar>
              <w:top w:w="0" w:type="dxa"/>
              <w:left w:w="108" w:type="dxa"/>
              <w:bottom w:w="0" w:type="dxa"/>
              <w:right w:w="108" w:type="dxa"/>
            </w:tcMar>
            <w:vAlign w:val="center"/>
          </w:tcPr>
          <w:p w14:paraId="7DA48322">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lang w:eastAsia="zh-CN"/>
              </w:rPr>
              <w:t>质量保证期</w:t>
            </w:r>
          </w:p>
        </w:tc>
        <w:tc>
          <w:tcPr>
            <w:tcW w:w="5820" w:type="dxa"/>
            <w:noWrap w:val="0"/>
            <w:tcMar>
              <w:top w:w="0" w:type="dxa"/>
              <w:left w:w="108" w:type="dxa"/>
              <w:bottom w:w="0" w:type="dxa"/>
              <w:right w:w="108" w:type="dxa"/>
            </w:tcMar>
            <w:vAlign w:val="center"/>
          </w:tcPr>
          <w:p w14:paraId="060753C8">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lang w:val="en-US" w:eastAsia="zh-CN"/>
              </w:rPr>
              <w:t>至项目实施完成。</w:t>
            </w:r>
          </w:p>
        </w:tc>
      </w:tr>
      <w:tr w14:paraId="31EA14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456" w:hRule="atLeast"/>
          <w:jc w:val="center"/>
        </w:trPr>
        <w:tc>
          <w:tcPr>
            <w:tcW w:w="3479" w:type="dxa"/>
            <w:noWrap w:val="0"/>
            <w:tcMar>
              <w:top w:w="0" w:type="dxa"/>
              <w:left w:w="108" w:type="dxa"/>
              <w:bottom w:w="0" w:type="dxa"/>
              <w:right w:w="108" w:type="dxa"/>
            </w:tcMar>
            <w:vAlign w:val="center"/>
          </w:tcPr>
          <w:p w14:paraId="14750818">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lang w:eastAsia="zh-CN"/>
              </w:rPr>
              <w:t>响应时间</w:t>
            </w:r>
          </w:p>
        </w:tc>
        <w:tc>
          <w:tcPr>
            <w:tcW w:w="5820" w:type="dxa"/>
            <w:noWrap w:val="0"/>
            <w:tcMar>
              <w:top w:w="0" w:type="dxa"/>
              <w:left w:w="108" w:type="dxa"/>
              <w:bottom w:w="0" w:type="dxa"/>
              <w:right w:w="108" w:type="dxa"/>
            </w:tcMar>
            <w:vAlign w:val="center"/>
          </w:tcPr>
          <w:p w14:paraId="5C2B0F1F">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eastAsia" w:ascii="宋体" w:hAnsi="宋体" w:eastAsia="宋体" w:cs="Times New Roman"/>
                <w:color w:val="auto"/>
                <w:sz w:val="24"/>
                <w:szCs w:val="24"/>
                <w:lang w:eastAsia="zh-CN"/>
              </w:rPr>
            </w:pPr>
            <w:r>
              <w:rPr>
                <w:rFonts w:hint="eastAsia" w:ascii="宋体" w:hAnsi="宋体" w:eastAsia="宋体" w:cs="Times New Roman"/>
                <w:color w:val="auto"/>
                <w:sz w:val="24"/>
                <w:szCs w:val="24"/>
                <w:lang w:val="en-US" w:eastAsia="zh-CN"/>
              </w:rPr>
              <w:t xml:space="preserve">中标人应做到7×24响应，中标人接到采购人服务通知后，应立即与采购人联系，并在24小时内派技术员到现场进行技术处理。若在24小时内未能赶到现场，由采购人另安排技术人员处理，相关费用由中标人双倍在合同总金额中扣除。 </w:t>
            </w:r>
          </w:p>
        </w:tc>
      </w:tr>
      <w:tr w14:paraId="4B4CF5F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15" w:type="dxa"/>
            <w:left w:w="15" w:type="dxa"/>
            <w:bottom w:w="15" w:type="dxa"/>
            <w:right w:w="15" w:type="dxa"/>
          </w:tblCellMar>
        </w:tblPrEx>
        <w:trPr>
          <w:trHeight w:val="2031" w:hRule="atLeast"/>
          <w:jc w:val="center"/>
        </w:trPr>
        <w:tc>
          <w:tcPr>
            <w:tcW w:w="3479" w:type="dxa"/>
            <w:noWrap w:val="0"/>
            <w:tcMar>
              <w:top w:w="0" w:type="dxa"/>
              <w:left w:w="108" w:type="dxa"/>
              <w:bottom w:w="0" w:type="dxa"/>
              <w:right w:w="108" w:type="dxa"/>
            </w:tcMar>
            <w:vAlign w:val="center"/>
          </w:tcPr>
          <w:p w14:paraId="10ACD2C7">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宋体" w:hAnsi="宋体" w:eastAsia="宋体" w:cs="Times New Roman"/>
                <w:color w:val="auto"/>
                <w:sz w:val="24"/>
                <w:szCs w:val="24"/>
              </w:rPr>
            </w:pPr>
            <w:r>
              <w:rPr>
                <w:rFonts w:hint="eastAsia" w:ascii="宋体" w:hAnsi="宋体" w:eastAsia="宋体" w:cs="Times New Roman"/>
                <w:color w:val="auto"/>
                <w:sz w:val="24"/>
                <w:szCs w:val="24"/>
              </w:rPr>
              <w:t>合同价款支付方式和条件</w:t>
            </w:r>
          </w:p>
        </w:tc>
        <w:tc>
          <w:tcPr>
            <w:tcW w:w="5820" w:type="dxa"/>
            <w:noWrap w:val="0"/>
            <w:tcMar>
              <w:top w:w="0" w:type="dxa"/>
              <w:left w:w="108" w:type="dxa"/>
              <w:bottom w:w="0" w:type="dxa"/>
              <w:right w:w="108" w:type="dxa"/>
            </w:tcMar>
            <w:vAlign w:val="center"/>
          </w:tcPr>
          <w:p w14:paraId="514F9E38">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Times New Roman"/>
                <w:color w:val="auto"/>
                <w:kern w:val="2"/>
                <w:sz w:val="24"/>
                <w:szCs w:val="24"/>
                <w:lang w:val="en-US" w:eastAsia="zh-CN" w:bidi="ar-SA"/>
              </w:rPr>
            </w:pPr>
            <w:r>
              <w:rPr>
                <w:rFonts w:hint="eastAsia" w:ascii="宋体" w:hAnsi="宋体" w:eastAsia="宋体" w:cs="Times New Roman"/>
                <w:color w:val="auto"/>
                <w:kern w:val="2"/>
                <w:sz w:val="24"/>
                <w:szCs w:val="24"/>
                <w:lang w:val="en-US" w:eastAsia="zh-CN" w:bidi="ar-SA"/>
              </w:rPr>
              <w:t>1、中标人在合同规定的时间将任务完成后，由中标人提出验收申请，县受污染耕地安全领导小组组织专家小组依照招标文件上的相关服务要求、有关指标和合同条款进行现场验收。</w:t>
            </w:r>
          </w:p>
          <w:p w14:paraId="0A3E756C">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Times New Roman"/>
                <w:color w:val="auto"/>
                <w:kern w:val="2"/>
                <w:sz w:val="24"/>
                <w:szCs w:val="24"/>
                <w:lang w:val="en-US" w:eastAsia="zh-CN" w:bidi="ar-SA"/>
              </w:rPr>
            </w:pPr>
            <w:r>
              <w:rPr>
                <w:rFonts w:hint="eastAsia" w:ascii="宋体" w:hAnsi="宋体" w:eastAsia="宋体" w:cs="Times New Roman"/>
                <w:color w:val="auto"/>
                <w:kern w:val="2"/>
                <w:sz w:val="24"/>
                <w:szCs w:val="24"/>
                <w:lang w:val="en-US" w:eastAsia="zh-CN" w:bidi="ar-SA"/>
              </w:rPr>
              <w:t>2、按实际实施面积结算。</w:t>
            </w:r>
          </w:p>
          <w:p w14:paraId="222D9E3A">
            <w:pPr>
              <w:keepNext w:val="0"/>
              <w:keepLines w:val="0"/>
              <w:pageBreakBefore w:val="0"/>
              <w:widowControl w:val="0"/>
              <w:kinsoku/>
              <w:wordWrap/>
              <w:overflowPunct/>
              <w:topLinePunct w:val="0"/>
              <w:autoSpaceDE/>
              <w:autoSpaceDN/>
              <w:bidi w:val="0"/>
              <w:adjustRightInd/>
              <w:snapToGrid/>
              <w:spacing w:line="440" w:lineRule="exact"/>
              <w:ind w:firstLine="480" w:firstLineChars="200"/>
              <w:jc w:val="left"/>
              <w:textAlignment w:val="auto"/>
              <w:rPr>
                <w:rFonts w:hint="eastAsia" w:ascii="宋体" w:hAnsi="宋体" w:eastAsia="宋体" w:cs="Times New Roman"/>
                <w:color w:val="auto"/>
                <w:kern w:val="2"/>
                <w:sz w:val="24"/>
                <w:szCs w:val="24"/>
                <w:lang w:val="en-US" w:eastAsia="zh-CN" w:bidi="ar-SA"/>
              </w:rPr>
            </w:pPr>
            <w:r>
              <w:rPr>
                <w:rFonts w:hint="eastAsia" w:ascii="宋体" w:hAnsi="宋体" w:eastAsia="宋体" w:cs="Times New Roman"/>
                <w:color w:val="auto"/>
                <w:kern w:val="2"/>
                <w:sz w:val="24"/>
                <w:szCs w:val="24"/>
                <w:lang w:val="en-US" w:eastAsia="zh-CN" w:bidi="ar-SA"/>
              </w:rPr>
              <w:t>3、资金拨付方式：整个项目实施完成并在县受污染耕地安全领导小组组织专家小组验收合格后予以拨付。</w:t>
            </w:r>
          </w:p>
        </w:tc>
      </w:tr>
      <w:tr w14:paraId="6306D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9" w:hRule="atLeast"/>
          <w:jc w:val="center"/>
        </w:trPr>
        <w:tc>
          <w:tcPr>
            <w:tcW w:w="3479" w:type="dxa"/>
            <w:noWrap w:val="0"/>
            <w:tcMar>
              <w:top w:w="0" w:type="dxa"/>
              <w:left w:w="108" w:type="dxa"/>
              <w:bottom w:w="0" w:type="dxa"/>
              <w:right w:w="108" w:type="dxa"/>
            </w:tcMar>
            <w:vAlign w:val="center"/>
          </w:tcPr>
          <w:p w14:paraId="7AD447CE">
            <w:pPr>
              <w:keepNext w:val="0"/>
              <w:keepLines w:val="0"/>
              <w:pageBreakBefore w:val="0"/>
              <w:widowControl/>
              <w:kinsoku/>
              <w:wordWrap/>
              <w:overflowPunct/>
              <w:topLinePunct w:val="0"/>
              <w:autoSpaceDE/>
              <w:autoSpaceDN/>
              <w:bidi w:val="0"/>
              <w:adjustRightInd/>
              <w:snapToGrid/>
              <w:spacing w:line="360" w:lineRule="exact"/>
              <w:jc w:val="center"/>
              <w:textAlignment w:val="auto"/>
              <w:rPr>
                <w:rFonts w:hint="eastAsia" w:ascii="宋体" w:hAnsi="宋体" w:eastAsia="宋体" w:cs="宋体"/>
                <w:strike w:val="0"/>
                <w:dstrike w:val="0"/>
                <w:color w:val="auto"/>
                <w:kern w:val="0"/>
                <w:sz w:val="24"/>
                <w:szCs w:val="24"/>
                <w:highlight w:val="none"/>
                <w:lang w:bidi="ar-SA"/>
              </w:rPr>
            </w:pPr>
            <w:r>
              <w:rPr>
                <w:rStyle w:val="7"/>
                <w:rFonts w:hint="eastAsia" w:ascii="宋体" w:hAnsi="宋体" w:eastAsia="宋体" w:cs="宋体"/>
                <w:strike w:val="0"/>
                <w:dstrike w:val="0"/>
                <w:color w:val="auto"/>
                <w:spacing w:val="30"/>
                <w:kern w:val="0"/>
                <w:sz w:val="24"/>
                <w:szCs w:val="24"/>
                <w:highlight w:val="none"/>
              </w:rPr>
              <w:t>伴随服务</w:t>
            </w:r>
          </w:p>
        </w:tc>
        <w:tc>
          <w:tcPr>
            <w:tcW w:w="5820" w:type="dxa"/>
            <w:noWrap w:val="0"/>
            <w:tcMar>
              <w:top w:w="0" w:type="dxa"/>
              <w:left w:w="108" w:type="dxa"/>
              <w:bottom w:w="0" w:type="dxa"/>
              <w:right w:w="108" w:type="dxa"/>
            </w:tcMar>
            <w:vAlign w:val="center"/>
          </w:tcPr>
          <w:p w14:paraId="3C29E9F2">
            <w:pPr>
              <w:keepNext w:val="0"/>
              <w:keepLines w:val="0"/>
              <w:pageBreakBefore w:val="0"/>
              <w:widowControl/>
              <w:kinsoku/>
              <w:wordWrap/>
              <w:overflowPunct/>
              <w:topLinePunct w:val="0"/>
              <w:autoSpaceDE/>
              <w:autoSpaceDN/>
              <w:bidi w:val="0"/>
              <w:adjustRightInd/>
              <w:snapToGrid/>
              <w:spacing w:line="360" w:lineRule="exact"/>
              <w:jc w:val="left"/>
              <w:textAlignment w:val="auto"/>
              <w:rPr>
                <w:rFonts w:hint="eastAsia" w:ascii="宋体" w:hAnsi="宋体" w:eastAsia="宋体" w:cs="宋体"/>
                <w:strike w:val="0"/>
                <w:dstrike w:val="0"/>
                <w:color w:val="auto"/>
                <w:kern w:val="0"/>
                <w:sz w:val="24"/>
                <w:szCs w:val="24"/>
                <w:highlight w:val="none"/>
                <w:lang w:val="en-US" w:eastAsia="zh-CN" w:bidi="ar-SA"/>
              </w:rPr>
            </w:pPr>
            <w:r>
              <w:rPr>
                <w:rStyle w:val="7"/>
                <w:rFonts w:hint="eastAsia" w:ascii="宋体" w:hAnsi="宋体" w:eastAsia="宋体" w:cs="宋体"/>
                <w:strike w:val="0"/>
                <w:dstrike w:val="0"/>
                <w:color w:val="auto"/>
                <w:spacing w:val="30"/>
                <w:kern w:val="0"/>
                <w:sz w:val="24"/>
                <w:szCs w:val="24"/>
                <w:highlight w:val="none"/>
              </w:rPr>
              <w:t>详见采购需求</w:t>
            </w:r>
          </w:p>
        </w:tc>
      </w:tr>
      <w:tr w14:paraId="610A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09" w:hRule="atLeast"/>
          <w:jc w:val="center"/>
        </w:trPr>
        <w:tc>
          <w:tcPr>
            <w:tcW w:w="3479" w:type="dxa"/>
            <w:noWrap w:val="0"/>
            <w:tcMar>
              <w:top w:w="0" w:type="dxa"/>
              <w:left w:w="108" w:type="dxa"/>
              <w:bottom w:w="0" w:type="dxa"/>
              <w:right w:w="108" w:type="dxa"/>
            </w:tcMar>
            <w:vAlign w:val="center"/>
          </w:tcPr>
          <w:p w14:paraId="33F50F17">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7"/>
                <w:rFonts w:hint="eastAsia" w:ascii="宋体" w:hAnsi="宋体" w:eastAsia="宋体" w:cs="宋体"/>
                <w:color w:val="auto"/>
                <w:spacing w:val="30"/>
                <w:kern w:val="0"/>
                <w:sz w:val="24"/>
                <w:szCs w:val="24"/>
                <w:highlight w:val="none"/>
              </w:rPr>
            </w:pPr>
            <w:r>
              <w:rPr>
                <w:rStyle w:val="7"/>
                <w:rFonts w:hint="eastAsia" w:ascii="宋体" w:hAnsi="宋体" w:eastAsia="宋体" w:cs="宋体"/>
                <w:color w:val="auto"/>
                <w:spacing w:val="30"/>
                <w:kern w:val="0"/>
                <w:sz w:val="24"/>
                <w:szCs w:val="24"/>
                <w:highlight w:val="none"/>
              </w:rPr>
              <w:t>解决争议的方式</w:t>
            </w:r>
          </w:p>
        </w:tc>
        <w:tc>
          <w:tcPr>
            <w:tcW w:w="5820" w:type="dxa"/>
            <w:noWrap w:val="0"/>
            <w:tcMar>
              <w:top w:w="0" w:type="dxa"/>
              <w:left w:w="108" w:type="dxa"/>
              <w:bottom w:w="0" w:type="dxa"/>
              <w:right w:w="108" w:type="dxa"/>
            </w:tcMar>
            <w:vAlign w:val="center"/>
          </w:tcPr>
          <w:p w14:paraId="3C1D7A4D">
            <w:pPr>
              <w:keepNext w:val="0"/>
              <w:keepLines w:val="0"/>
              <w:pageBreakBefore w:val="0"/>
              <w:widowControl/>
              <w:kinsoku/>
              <w:wordWrap/>
              <w:overflowPunct/>
              <w:topLinePunct w:val="0"/>
              <w:autoSpaceDE/>
              <w:autoSpaceDN/>
              <w:bidi w:val="0"/>
              <w:adjustRightInd/>
              <w:snapToGrid/>
              <w:spacing w:line="360" w:lineRule="exact"/>
              <w:jc w:val="left"/>
              <w:textAlignment w:val="auto"/>
              <w:rPr>
                <w:rStyle w:val="7"/>
                <w:rFonts w:hint="eastAsia" w:ascii="宋体" w:hAnsi="宋体" w:eastAsia="宋体" w:cs="宋体"/>
                <w:color w:val="auto"/>
                <w:spacing w:val="30"/>
                <w:kern w:val="0"/>
                <w:sz w:val="24"/>
                <w:szCs w:val="24"/>
                <w:highlight w:val="none"/>
              </w:rPr>
            </w:pP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sz w:val="24"/>
                <w:szCs w:val="24"/>
                <w:highlight w:val="none"/>
              </w:rPr>
              <w:t>仲裁</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bCs/>
                <w:color w:val="auto"/>
                <w:kern w:val="0"/>
                <w:sz w:val="24"/>
                <w:szCs w:val="24"/>
                <w:highlight w:val="none"/>
                <w:lang w:eastAsia="zh-CN"/>
              </w:rPr>
              <w:t>☑</w:t>
            </w:r>
            <w:r>
              <w:rPr>
                <w:rFonts w:hint="eastAsia" w:ascii="宋体" w:hAnsi="宋体" w:eastAsia="宋体" w:cs="宋体"/>
                <w:color w:val="auto"/>
                <w:sz w:val="24"/>
                <w:szCs w:val="24"/>
                <w:highlight w:val="none"/>
                <w:lang w:val="en-US" w:eastAsia="zh-CN"/>
              </w:rPr>
              <w:t>诉讼</w:t>
            </w:r>
          </w:p>
        </w:tc>
      </w:tr>
      <w:tr w14:paraId="25F3B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rPr>
          <w:trHeight w:val="421" w:hRule="atLeast"/>
          <w:jc w:val="center"/>
        </w:trPr>
        <w:tc>
          <w:tcPr>
            <w:tcW w:w="3479" w:type="dxa"/>
            <w:noWrap w:val="0"/>
            <w:tcMar>
              <w:top w:w="0" w:type="dxa"/>
              <w:left w:w="108" w:type="dxa"/>
              <w:bottom w:w="0" w:type="dxa"/>
              <w:right w:w="108" w:type="dxa"/>
            </w:tcMar>
            <w:vAlign w:val="center"/>
          </w:tcPr>
          <w:p w14:paraId="42AE7676">
            <w:pPr>
              <w:keepNext w:val="0"/>
              <w:keepLines w:val="0"/>
              <w:pageBreakBefore w:val="0"/>
              <w:widowControl/>
              <w:kinsoku/>
              <w:wordWrap/>
              <w:overflowPunct/>
              <w:topLinePunct w:val="0"/>
              <w:autoSpaceDE/>
              <w:autoSpaceDN/>
              <w:bidi w:val="0"/>
              <w:adjustRightInd/>
              <w:snapToGrid/>
              <w:spacing w:line="360" w:lineRule="exact"/>
              <w:jc w:val="center"/>
              <w:textAlignment w:val="auto"/>
              <w:rPr>
                <w:rStyle w:val="7"/>
                <w:rFonts w:hint="eastAsia" w:ascii="宋体" w:hAnsi="宋体" w:eastAsia="宋体" w:cs="宋体"/>
                <w:color w:val="auto"/>
                <w:spacing w:val="30"/>
                <w:kern w:val="0"/>
                <w:sz w:val="24"/>
                <w:szCs w:val="24"/>
                <w:highlight w:val="none"/>
              </w:rPr>
            </w:pPr>
            <w:r>
              <w:rPr>
                <w:rStyle w:val="7"/>
                <w:rFonts w:hint="eastAsia" w:ascii="宋体" w:hAnsi="宋体" w:eastAsia="宋体" w:cs="宋体"/>
                <w:color w:val="auto"/>
                <w:spacing w:val="30"/>
                <w:kern w:val="0"/>
                <w:sz w:val="24"/>
                <w:szCs w:val="24"/>
                <w:highlight w:val="none"/>
              </w:rPr>
              <w:t>合同未尽事项</w:t>
            </w:r>
          </w:p>
        </w:tc>
        <w:tc>
          <w:tcPr>
            <w:tcW w:w="5820" w:type="dxa"/>
            <w:noWrap w:val="0"/>
            <w:tcMar>
              <w:top w:w="0" w:type="dxa"/>
              <w:left w:w="108" w:type="dxa"/>
              <w:bottom w:w="0" w:type="dxa"/>
              <w:right w:w="108" w:type="dxa"/>
            </w:tcMar>
            <w:vAlign w:val="center"/>
          </w:tcPr>
          <w:p w14:paraId="58980004">
            <w:pPr>
              <w:keepNext w:val="0"/>
              <w:keepLines w:val="0"/>
              <w:pageBreakBefore w:val="0"/>
              <w:widowControl/>
              <w:kinsoku/>
              <w:wordWrap/>
              <w:overflowPunct/>
              <w:topLinePunct w:val="0"/>
              <w:autoSpaceDE/>
              <w:autoSpaceDN/>
              <w:bidi w:val="0"/>
              <w:adjustRightInd/>
              <w:snapToGrid/>
              <w:spacing w:line="360" w:lineRule="exact"/>
              <w:jc w:val="left"/>
              <w:textAlignment w:val="auto"/>
              <w:rPr>
                <w:rStyle w:val="7"/>
                <w:rFonts w:hint="eastAsia" w:ascii="宋体" w:hAnsi="宋体" w:eastAsia="宋体" w:cs="宋体"/>
                <w:color w:val="auto"/>
                <w:spacing w:val="30"/>
                <w:kern w:val="0"/>
                <w:sz w:val="24"/>
                <w:szCs w:val="24"/>
                <w:highlight w:val="none"/>
              </w:rPr>
            </w:pPr>
            <w:r>
              <w:rPr>
                <w:rStyle w:val="7"/>
                <w:rFonts w:hint="eastAsia" w:ascii="宋体" w:hAnsi="宋体" w:eastAsia="宋体" w:cs="宋体"/>
                <w:color w:val="auto"/>
                <w:spacing w:val="30"/>
                <w:kern w:val="0"/>
                <w:sz w:val="24"/>
                <w:szCs w:val="24"/>
                <w:highlight w:val="none"/>
              </w:rPr>
              <w:t>另行约定</w:t>
            </w:r>
          </w:p>
        </w:tc>
      </w:tr>
    </w:tbl>
    <w:p w14:paraId="76CC59F5">
      <w:pPr>
        <w:keepNext w:val="0"/>
        <w:keepLines w:val="0"/>
        <w:pageBreakBefore w:val="0"/>
        <w:kinsoku/>
        <w:wordWrap/>
        <w:overflowPunct/>
        <w:topLinePunct w:val="0"/>
        <w:autoSpaceDE/>
        <w:autoSpaceDN/>
        <w:bidi w:val="0"/>
        <w:adjustRightInd/>
        <w:snapToGrid/>
        <w:spacing w:line="440" w:lineRule="exact"/>
        <w:jc w:val="both"/>
        <w:textAlignment w:val="auto"/>
        <w:rPr>
          <w:rFonts w:hint="eastAsia" w:ascii="宋体" w:hAnsi="宋体" w:eastAsia="宋体" w:cs="宋体"/>
          <w:b/>
          <w:bCs/>
          <w:color w:val="auto"/>
          <w:sz w:val="24"/>
          <w:szCs w:val="24"/>
          <w:lang w:val="en-US" w:eastAsia="zh-CN"/>
        </w:rPr>
      </w:pPr>
      <w:r>
        <w:rPr>
          <w:rFonts w:hint="eastAsia" w:ascii="宋体" w:hAnsi="宋体" w:eastAsia="宋体" w:cs="宋体"/>
          <w:b/>
          <w:bCs/>
          <w:color w:val="auto"/>
          <w:sz w:val="24"/>
          <w:szCs w:val="24"/>
          <w:lang w:val="en-US" w:eastAsia="zh-CN"/>
        </w:rPr>
        <w:t>二、其他未尽事宜，由采购人与成交供应商在签订合同时约定。</w:t>
      </w:r>
    </w:p>
    <w:p w14:paraId="4DE36C9E">
      <w:pPr>
        <w:pStyle w:val="8"/>
        <w:keepNext w:val="0"/>
        <w:keepLines w:val="0"/>
        <w:pageBreakBefore w:val="0"/>
        <w:widowControl w:val="0"/>
        <w:kinsoku/>
        <w:wordWrap/>
        <w:overflowPunct/>
        <w:topLinePunct w:val="0"/>
        <w:autoSpaceDE/>
        <w:autoSpaceDN/>
        <w:bidi w:val="0"/>
        <w:adjustRightInd/>
        <w:snapToGrid/>
        <w:spacing w:line="360" w:lineRule="auto"/>
        <w:ind w:left="0" w:leftChars="0" w:firstLine="602" w:firstLineChars="200"/>
        <w:textAlignment w:val="auto"/>
        <w:rPr>
          <w:rStyle w:val="7"/>
          <w:rFonts w:hint="eastAsia" w:ascii="宋体" w:hAnsi="宋体" w:eastAsia="宋体" w:cs="宋体"/>
          <w:b/>
          <w:bCs/>
          <w:color w:val="auto"/>
          <w:spacing w:val="30"/>
          <w:kern w:val="0"/>
          <w:sz w:val="24"/>
          <w:szCs w:val="24"/>
          <w:highlight w:val="none"/>
        </w:rPr>
      </w:pPr>
    </w:p>
    <w:p w14:paraId="0F731F20">
      <w:pPr>
        <w:rPr>
          <w:rFonts w:hint="eastAsia" w:ascii="宋体" w:hAnsi="宋体" w:eastAsia="宋体" w:cs="Times New Roman"/>
          <w:color w:val="auto"/>
          <w:sz w:val="20"/>
          <w:highlight w:val="white"/>
        </w:rPr>
      </w:pPr>
    </w:p>
    <w:p w14:paraId="03644E11">
      <w:pPr>
        <w:rPr>
          <w:color w:val="auto"/>
        </w:rPr>
      </w:pPr>
    </w:p>
    <w:bookmarkEnd w:id="2"/>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EFF" w:usb1="C000785B" w:usb2="00000009" w:usb3="00000000" w:csb0="400001FF" w:csb1="FFFF0000"/>
  </w:font>
  <w:font w:name="宋体">
    <w:panose1 w:val="02010600030101010101"/>
    <w:charset w:val="7F"/>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ECB6F">
    <w:pPr>
      <w:pStyle w:val="4"/>
      <w:jc w:val="center"/>
      <w:rPr>
        <w:rFonts w:eastAsia="宋体" w:cs="Times New Roman"/>
      </w:rPr>
    </w:pPr>
    <w:r>
      <w:rPr>
        <w:rFonts w:eastAsia="宋体" w:cs="Times New Roman"/>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073E273">
                          <w:pPr>
                            <w:pStyle w:val="4"/>
                            <w:rPr>
                              <w:rFonts w:eastAsia="宋体" w:cs="Times New Roman"/>
                            </w:rPr>
                          </w:pPr>
                          <w:r>
                            <w:rPr>
                              <w:rFonts w:eastAsia="宋体" w:cs="Times New Roman"/>
                            </w:rPr>
                            <w:fldChar w:fldCharType="begin"/>
                          </w:r>
                          <w:r>
                            <w:rPr>
                              <w:rFonts w:eastAsia="宋体" w:cs="Times New Roman"/>
                            </w:rPr>
                            <w:instrText xml:space="preserve"> PAGE  \* MERGEFORMAT </w:instrText>
                          </w:r>
                          <w:r>
                            <w:rPr>
                              <w:rFonts w:eastAsia="宋体" w:cs="Times New Roman"/>
                            </w:rPr>
                            <w:fldChar w:fldCharType="separate"/>
                          </w:r>
                          <w:r>
                            <w:rPr>
                              <w:rFonts w:eastAsia="宋体" w:cs="Times New Roman"/>
                            </w:rPr>
                            <w:t>- 1 -</w:t>
                          </w:r>
                          <w:r>
                            <w:rPr>
                              <w:rFonts w:eastAsia="宋体" w:cs="Times New Roma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path/>
              <v:fill on="f" focussize="0,0"/>
              <v:stroke on="f"/>
              <v:imagedata o:title=""/>
              <o:lock v:ext="edit" aspectratio="f"/>
              <v:textbox inset="0mm,0mm,0mm,0mm" style="mso-fit-shape-to-text:t;">
                <w:txbxContent>
                  <w:p w14:paraId="7073E273">
                    <w:pPr>
                      <w:pStyle w:val="4"/>
                      <w:rPr>
                        <w:rFonts w:eastAsia="宋体" w:cs="Times New Roman"/>
                      </w:rPr>
                    </w:pPr>
                    <w:r>
                      <w:rPr>
                        <w:rFonts w:eastAsia="宋体" w:cs="Times New Roman"/>
                      </w:rPr>
                      <w:fldChar w:fldCharType="begin"/>
                    </w:r>
                    <w:r>
                      <w:rPr>
                        <w:rFonts w:eastAsia="宋体" w:cs="Times New Roman"/>
                      </w:rPr>
                      <w:instrText xml:space="preserve"> PAGE  \* MERGEFORMAT </w:instrText>
                    </w:r>
                    <w:r>
                      <w:rPr>
                        <w:rFonts w:eastAsia="宋体" w:cs="Times New Roman"/>
                      </w:rPr>
                      <w:fldChar w:fldCharType="separate"/>
                    </w:r>
                    <w:r>
                      <w:rPr>
                        <w:rFonts w:eastAsia="宋体" w:cs="Times New Roman"/>
                      </w:rPr>
                      <w:t>- 1 -</w:t>
                    </w:r>
                    <w:r>
                      <w:rPr>
                        <w:rFonts w:eastAsia="宋体" w:cs="Times New Roman"/>
                      </w:rPr>
                      <w:fldChar w:fldCharType="end"/>
                    </w:r>
                  </w:p>
                </w:txbxContent>
              </v:textbox>
            </v:shape>
          </w:pict>
        </mc:Fallback>
      </mc:AlternateContent>
    </w:r>
  </w:p>
  <w:p w14:paraId="006CFBDD">
    <w:pPr>
      <w:pStyle w:val="4"/>
      <w:rPr>
        <w:rFonts w:eastAsia="宋体" w:cs="Times New Roman"/>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AC27C2"/>
    <w:multiLevelType w:val="singleLevel"/>
    <w:tmpl w:val="2CAC27C2"/>
    <w:lvl w:ilvl="0" w:tentative="0">
      <w:start w:val="1"/>
      <w:numFmt w:val="chineseCounting"/>
      <w:suff w:val="space"/>
      <w:lvlText w:val="第%1节"/>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89375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1"/>
    <w:next w:val="1"/>
    <w:qFormat/>
    <w:uiPriority w:val="0"/>
    <w:pPr>
      <w:keepNext/>
      <w:widowControl w:val="0"/>
      <w:jc w:val="center"/>
      <w:outlineLvl w:val="0"/>
    </w:pPr>
    <w:rPr>
      <w:rFonts w:ascii="Calibri" w:hAnsi="Calibri" w:eastAsia="宋体" w:cs="Times New Roman"/>
      <w:b/>
      <w:bCs/>
      <w:kern w:val="2"/>
      <w:sz w:val="24"/>
      <w:szCs w:val="20"/>
      <w:lang w:val="en-US" w:eastAsia="zh-CN" w:bidi="ar-SA"/>
    </w:rPr>
  </w:style>
  <w:style w:type="character" w:default="1" w:styleId="7">
    <w:name w:val="Default Paragraph Font"/>
    <w:semiHidden/>
    <w:uiPriority w:val="0"/>
  </w:style>
  <w:style w:type="table" w:default="1" w:styleId="5">
    <w:name w:val="Normal Table"/>
    <w:semiHidden/>
    <w:uiPriority w:val="0"/>
    <w:tblPr>
      <w:tblCellMar>
        <w:top w:w="0" w:type="dxa"/>
        <w:left w:w="108" w:type="dxa"/>
        <w:bottom w:w="0" w:type="dxa"/>
        <w:right w:w="108" w:type="dxa"/>
      </w:tblCellMar>
    </w:tblPr>
  </w:style>
  <w:style w:type="paragraph" w:styleId="3">
    <w:name w:val="Body Text"/>
    <w:next w:val="1"/>
    <w:uiPriority w:val="0"/>
    <w:pPr>
      <w:widowControl w:val="0"/>
      <w:spacing w:after="120"/>
      <w:jc w:val="both"/>
    </w:pPr>
    <w:rPr>
      <w:rFonts w:ascii="Calibri" w:hAnsi="Calibri" w:eastAsia="宋体" w:cs="Times New Roman"/>
      <w:kern w:val="2"/>
      <w:sz w:val="21"/>
      <w:szCs w:val="22"/>
      <w:lang w:val="en-US" w:eastAsia="zh-CN" w:bidi="ar-SA"/>
    </w:rPr>
  </w:style>
  <w:style w:type="paragraph" w:styleId="4">
    <w:name w:val="footer"/>
    <w:unhideWhenUsed/>
    <w:uiPriority w:val="99"/>
    <w:pPr>
      <w:widowControl w:val="0"/>
      <w:tabs>
        <w:tab w:val="center" w:pos="4153"/>
        <w:tab w:val="right" w:pos="8306"/>
      </w:tabs>
      <w:snapToGrid w:val="0"/>
      <w:jc w:val="left"/>
    </w:pPr>
    <w:rPr>
      <w:rFonts w:ascii="Calibri" w:hAnsi="Calibri" w:eastAsia="宋体" w:cs="Times New Roman"/>
      <w:kern w:val="2"/>
      <w:sz w:val="18"/>
      <w:szCs w:val="18"/>
      <w:lang w:val="en-US" w:eastAsia="zh-CN" w:bidi="ar-SA"/>
    </w:rPr>
  </w:style>
  <w:style w:type="table" w:styleId="6">
    <w:name w:val="Table Grid"/>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列出段落1"/>
    <w:uiPriority w:val="0"/>
    <w:pPr>
      <w:widowControl w:val="0"/>
      <w:ind w:firstLine="420" w:firstLineChars="200"/>
      <w:jc w:val="both"/>
    </w:pPr>
    <w:rPr>
      <w:rFonts w:ascii="Calibri" w:hAnsi="Calibri" w:eastAsia="宋体" w:cs="Calibri"/>
      <w:kern w:val="2"/>
      <w:sz w:val="21"/>
      <w:szCs w:val="21"/>
      <w:lang w:val="en-US" w:eastAsia="zh-CN" w:bidi="ar-SA"/>
    </w:rPr>
  </w:style>
  <w:style w:type="paragraph" w:customStyle="1" w:styleId="9">
    <w:name w:val="正文_22_0"/>
    <w:next w:val="10"/>
    <w:qFormat/>
    <w:uiPriority w:val="0"/>
    <w:pPr>
      <w:widowControl w:val="0"/>
      <w:jc w:val="both"/>
    </w:pPr>
    <w:rPr>
      <w:rFonts w:ascii="Calibri" w:hAnsi="Calibri" w:eastAsia="宋体" w:cs="Times New Roman"/>
      <w:kern w:val="2"/>
      <w:sz w:val="21"/>
      <w:szCs w:val="22"/>
      <w:lang w:val="en-US" w:eastAsia="zh-CN" w:bidi="ar-SA"/>
    </w:rPr>
  </w:style>
  <w:style w:type="paragraph" w:customStyle="1" w:styleId="10">
    <w:name w:val="正文文本_0"/>
    <w:next w:val="9"/>
    <w:qFormat/>
    <w:uiPriority w:val="0"/>
    <w:pPr>
      <w:widowControl w:val="0"/>
      <w:spacing w:after="12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0</Words>
  <Characters>0</Characters>
  <Lines>0</Lines>
  <Paragraphs>0</Paragraphs>
  <TotalTime>1</TotalTime>
  <ScaleCrop>false</ScaleCrop>
  <LinksUpToDate>false</LinksUpToDate>
  <CharactersWithSpaces>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2026-03-27T02:14:58Z</dcterms:created>
  <dc:creator>Administrator</dc:creator>
  <cp:lastModifiedBy>Administrator</cp:lastModifiedBy>
  <dcterms:modified xsi:type="dcterms:W3CDTF">2026-03-27T02:16:51Z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eyJoZGlkIjoiMzg0ZDIyNTViOTE0ZDc1MWZmZDJmYzNiM2ZiZWQ4MWYiLCJ1c2VySWQiOiIxMTQwMzY5MDAwIn0=</vt:lpwstr>
  </property>
  <property fmtid="{D5CDD505-2E9C-101B-9397-08002B2CF9AE}" pid="4" name="ICV">
    <vt:lpwstr>4EC8D80C696245998F6B59FDF675E0AA_12</vt:lpwstr>
  </property>
</Properties>
</file>