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D1D4B4">
      <w:pPr>
        <w:pStyle w:val="2"/>
        <w:wordWrap w:val="0"/>
        <w:spacing w:line="360" w:lineRule="auto"/>
        <w:rPr>
          <w:rFonts w:hint="eastAsia"/>
          <w:sz w:val="32"/>
          <w:szCs w:val="22"/>
        </w:rPr>
      </w:pPr>
      <w:bookmarkStart w:id="0" w:name="_Toc182296899"/>
      <w:bookmarkStart w:id="1" w:name="_Toc256000013"/>
      <w:r>
        <w:rPr>
          <w:rFonts w:hint="eastAsia"/>
          <w:sz w:val="32"/>
          <w:szCs w:val="22"/>
          <w:highlight w:val="white"/>
        </w:rPr>
        <w:t>第四章</w:t>
      </w:r>
      <w:bookmarkStart w:id="3" w:name="_GoBack"/>
      <w:bookmarkEnd w:id="3"/>
      <w:r>
        <w:rPr>
          <w:rFonts w:hint="eastAsia"/>
          <w:sz w:val="32"/>
          <w:szCs w:val="22"/>
          <w:highlight w:val="white"/>
        </w:rPr>
        <w:t xml:space="preserve"> 采购需求</w:t>
      </w:r>
      <w:bookmarkEnd w:id="0"/>
      <w:bookmarkEnd w:id="1"/>
    </w:p>
    <w:p w14:paraId="599A9688">
      <w:pPr>
        <w:wordWrap w:val="0"/>
        <w:rPr>
          <w:rFonts w:hint="eastAsia"/>
          <w:highlight w:val="red"/>
        </w:rPr>
      </w:pPr>
    </w:p>
    <w:p w14:paraId="24169D38">
      <w:pPr>
        <w:pStyle w:val="11"/>
        <w:keepNext w:val="0"/>
        <w:keepLines w:val="0"/>
        <w:pageBreakBefore w:val="0"/>
        <w:widowControl/>
        <w:kinsoku/>
        <w:wordWrap/>
        <w:overflowPunct/>
        <w:topLinePunct w:val="0"/>
        <w:bidi w:val="0"/>
        <w:spacing w:line="360" w:lineRule="auto"/>
        <w:jc w:val="left"/>
        <w:rPr>
          <w:rStyle w:val="5"/>
          <w:rFonts w:hint="eastAsia" w:ascii="宋体" w:hAnsi="宋体" w:eastAsia="宋体" w:cs="宋体"/>
          <w:color w:val="auto"/>
          <w:kern w:val="0"/>
          <w:sz w:val="24"/>
          <w:szCs w:val="24"/>
          <w:highlight w:val="none"/>
          <w:lang w:eastAsia="zh-CN" w:bidi="ar"/>
        </w:rPr>
      </w:pPr>
      <w:r>
        <w:rPr>
          <w:rStyle w:val="5"/>
          <w:rFonts w:hint="eastAsia" w:ascii="宋体" w:hAnsi="宋体" w:eastAsia="宋体" w:cs="宋体"/>
          <w:color w:val="auto"/>
          <w:kern w:val="0"/>
          <w:sz w:val="24"/>
          <w:szCs w:val="24"/>
          <w:highlight w:val="none"/>
          <w:lang w:bidi="ar"/>
        </w:rPr>
        <w:t>一</w:t>
      </w:r>
      <w:r>
        <w:rPr>
          <w:rStyle w:val="5"/>
          <w:rFonts w:hint="eastAsia" w:ascii="宋体" w:hAnsi="宋体" w:eastAsia="宋体" w:cs="宋体"/>
          <w:b/>
          <w:bCs/>
          <w:color w:val="auto"/>
          <w:kern w:val="0"/>
          <w:sz w:val="24"/>
          <w:szCs w:val="24"/>
          <w:highlight w:val="none"/>
          <w:lang w:bidi="ar"/>
        </w:rPr>
        <w:t>、项目名称：</w:t>
      </w:r>
      <w:r>
        <w:rPr>
          <w:rStyle w:val="5"/>
          <w:rFonts w:hint="eastAsia" w:ascii="宋体" w:hAnsi="宋体" w:eastAsia="宋体" w:cs="宋体"/>
          <w:color w:val="auto"/>
          <w:kern w:val="0"/>
          <w:sz w:val="24"/>
          <w:szCs w:val="24"/>
          <w:highlight w:val="none"/>
          <w:lang w:eastAsia="zh-CN" w:bidi="ar"/>
        </w:rPr>
        <w:t xml:space="preserve">衡阳县应急管理局防汛抢险、森林火灾扑救、救灾物资储备项目  </w:t>
      </w:r>
    </w:p>
    <w:p w14:paraId="3F563439">
      <w:pPr>
        <w:pStyle w:val="11"/>
        <w:keepNext w:val="0"/>
        <w:keepLines w:val="0"/>
        <w:pageBreakBefore w:val="0"/>
        <w:widowControl/>
        <w:kinsoku/>
        <w:wordWrap/>
        <w:overflowPunct/>
        <w:topLinePunct w:val="0"/>
        <w:bidi w:val="0"/>
        <w:spacing w:line="360" w:lineRule="auto"/>
        <w:jc w:val="left"/>
        <w:rPr>
          <w:rStyle w:val="5"/>
          <w:rFonts w:hint="eastAsia" w:ascii="宋体" w:hAnsi="宋体" w:eastAsia="宋体" w:cs="宋体"/>
          <w:b/>
          <w:bCs/>
          <w:color w:val="auto"/>
          <w:kern w:val="0"/>
          <w:sz w:val="24"/>
          <w:szCs w:val="24"/>
          <w:highlight w:val="none"/>
          <w:lang w:eastAsia="zh-CN" w:bidi="ar"/>
        </w:rPr>
      </w:pPr>
      <w:r>
        <w:rPr>
          <w:rStyle w:val="5"/>
          <w:rFonts w:hint="eastAsia" w:ascii="宋体" w:hAnsi="宋体" w:eastAsia="宋体" w:cs="宋体"/>
          <w:color w:val="auto"/>
          <w:kern w:val="0"/>
          <w:sz w:val="24"/>
          <w:szCs w:val="24"/>
          <w:highlight w:val="none"/>
          <w:lang w:eastAsia="zh-CN" w:bidi="ar"/>
        </w:rPr>
        <w:t>二、</w:t>
      </w:r>
      <w:r>
        <w:rPr>
          <w:rStyle w:val="5"/>
          <w:rFonts w:hint="eastAsia" w:ascii="宋体" w:hAnsi="宋体" w:eastAsia="宋体" w:cs="宋体"/>
          <w:b/>
          <w:bCs/>
          <w:color w:val="auto"/>
          <w:kern w:val="0"/>
          <w:sz w:val="24"/>
          <w:szCs w:val="24"/>
          <w:highlight w:val="none"/>
          <w:lang w:eastAsia="zh-CN" w:bidi="ar"/>
        </w:rPr>
        <w:t>采购内容及数量：</w:t>
      </w:r>
    </w:p>
    <w:p w14:paraId="05FAC7F9">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5"/>
          <w:rFonts w:hint="eastAsia" w:ascii="宋体" w:hAnsi="宋体" w:eastAsia="宋体" w:cs="宋体"/>
          <w:color w:val="auto"/>
          <w:sz w:val="24"/>
          <w:szCs w:val="24"/>
          <w:highlight w:val="none"/>
          <w:lang w:val="en-US" w:eastAsia="zh-CN"/>
        </w:rPr>
      </w:pPr>
      <w:r>
        <w:rPr>
          <w:rStyle w:val="5"/>
          <w:rFonts w:hint="eastAsia" w:ascii="宋体" w:hAnsi="宋体" w:eastAsia="宋体" w:cs="宋体"/>
          <w:color w:val="auto"/>
          <w:sz w:val="24"/>
          <w:szCs w:val="24"/>
          <w:highlight w:val="none"/>
        </w:rPr>
        <w:t>以下技术参数中带“★”号条款为实质性要求条款（即重要条款），对实质性要求条款中任何一条的偏离(即不满足、或不响应、或负偏离)，在评标时将其视为无效投标。带</w:t>
      </w:r>
      <w:r>
        <w:rPr>
          <w:rFonts w:hint="eastAsia" w:ascii="宋体" w:hAnsi="宋体" w:eastAsia="宋体" w:cs="宋体"/>
          <w:color w:val="auto"/>
          <w:sz w:val="24"/>
          <w:szCs w:val="24"/>
          <w:highlight w:val="none"/>
        </w:rPr>
        <w:t>“▲”号条款为关键性条款，其他为一般条款(非“▲”号条款)，均参与计分</w:t>
      </w:r>
      <w:r>
        <w:rPr>
          <w:rFonts w:hint="eastAsia" w:ascii="宋体" w:hAnsi="宋体" w:eastAsia="宋体" w:cs="宋体"/>
          <w:color w:val="auto"/>
          <w:sz w:val="24"/>
          <w:szCs w:val="24"/>
          <w:highlight w:val="none"/>
          <w:lang w:eastAsia="zh-CN"/>
        </w:rPr>
        <w:t>。</w:t>
      </w:r>
    </w:p>
    <w:tbl>
      <w:tblPr>
        <w:tblStyle w:val="9"/>
        <w:tblW w:w="9463" w:type="dxa"/>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27"/>
        <w:gridCol w:w="1032"/>
        <w:gridCol w:w="6378"/>
        <w:gridCol w:w="715"/>
        <w:gridCol w:w="811"/>
      </w:tblGrid>
      <w:tr w14:paraId="0FF8B1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trPr>
        <w:tc>
          <w:tcPr>
            <w:tcW w:w="527" w:type="dxa"/>
            <w:noWrap w:val="0"/>
            <w:tcMar>
              <w:top w:w="-1" w:type="dxa"/>
              <w:left w:w="-1" w:type="dxa"/>
              <w:bottom w:w="-1" w:type="dxa"/>
              <w:right w:w="-1" w:type="dxa"/>
            </w:tcMar>
            <w:vAlign w:val="center"/>
          </w:tcPr>
          <w:p w14:paraId="2AD5022B">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color w:val="auto"/>
                <w:sz w:val="24"/>
                <w:szCs w:val="24"/>
                <w:highlight w:val="none"/>
              </w:rPr>
            </w:pPr>
            <w:r>
              <w:rPr>
                <w:rFonts w:hint="eastAsia" w:ascii="宋体" w:hAnsi="宋体" w:eastAsia="宋体" w:cs="宋体"/>
                <w:b/>
                <w:bCs/>
                <w:color w:val="auto"/>
                <w:spacing w:val="2"/>
                <w:sz w:val="24"/>
                <w:szCs w:val="24"/>
                <w:highlight w:val="none"/>
              </w:rPr>
              <w:t>序号</w:t>
            </w:r>
          </w:p>
        </w:tc>
        <w:tc>
          <w:tcPr>
            <w:tcW w:w="1032" w:type="dxa"/>
            <w:noWrap w:val="0"/>
            <w:tcMar>
              <w:top w:w="-1" w:type="dxa"/>
              <w:left w:w="-1" w:type="dxa"/>
              <w:bottom w:w="-1" w:type="dxa"/>
              <w:right w:w="-1" w:type="dxa"/>
            </w:tcMar>
            <w:vAlign w:val="center"/>
          </w:tcPr>
          <w:p w14:paraId="57BBD337">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color w:val="auto"/>
                <w:sz w:val="24"/>
                <w:szCs w:val="24"/>
                <w:highlight w:val="none"/>
              </w:rPr>
            </w:pPr>
            <w:r>
              <w:rPr>
                <w:rFonts w:hint="eastAsia" w:ascii="宋体" w:hAnsi="宋体" w:eastAsia="宋体" w:cs="宋体"/>
                <w:b/>
                <w:bCs/>
                <w:color w:val="auto"/>
                <w:spacing w:val="3"/>
                <w:sz w:val="24"/>
                <w:szCs w:val="24"/>
                <w:highlight w:val="none"/>
              </w:rPr>
              <w:t>产品名称</w:t>
            </w:r>
          </w:p>
        </w:tc>
        <w:tc>
          <w:tcPr>
            <w:tcW w:w="6378" w:type="dxa"/>
            <w:noWrap w:val="0"/>
            <w:tcMar>
              <w:top w:w="-1" w:type="dxa"/>
              <w:left w:w="-1" w:type="dxa"/>
              <w:bottom w:w="-1" w:type="dxa"/>
              <w:right w:w="-1" w:type="dxa"/>
            </w:tcMar>
            <w:vAlign w:val="center"/>
          </w:tcPr>
          <w:p w14:paraId="4D62B193">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color w:val="auto"/>
                <w:sz w:val="24"/>
                <w:szCs w:val="24"/>
                <w:highlight w:val="none"/>
              </w:rPr>
            </w:pPr>
            <w:r>
              <w:rPr>
                <w:rFonts w:hint="eastAsia" w:ascii="宋体" w:hAnsi="宋体" w:eastAsia="宋体" w:cs="宋体"/>
                <w:b/>
                <w:bCs/>
                <w:color w:val="auto"/>
                <w:spacing w:val="4"/>
                <w:position w:val="2"/>
                <w:sz w:val="24"/>
                <w:szCs w:val="24"/>
                <w:highlight w:val="none"/>
              </w:rPr>
              <w:t>规格/</w:t>
            </w:r>
            <w:r>
              <w:rPr>
                <w:rFonts w:hint="eastAsia" w:ascii="宋体" w:hAnsi="宋体" w:eastAsia="宋体" w:cs="宋体"/>
                <w:b/>
                <w:bCs/>
                <w:color w:val="auto"/>
                <w:spacing w:val="4"/>
                <w:position w:val="2"/>
                <w:sz w:val="24"/>
                <w:szCs w:val="24"/>
                <w:highlight w:val="none"/>
                <w:lang w:val="en-US" w:eastAsia="zh-CN"/>
              </w:rPr>
              <w:t>技术</w:t>
            </w:r>
            <w:r>
              <w:rPr>
                <w:rFonts w:hint="eastAsia" w:ascii="宋体" w:hAnsi="宋体" w:eastAsia="宋体" w:cs="宋体"/>
                <w:b/>
                <w:bCs/>
                <w:color w:val="auto"/>
                <w:spacing w:val="4"/>
                <w:position w:val="2"/>
                <w:sz w:val="24"/>
                <w:szCs w:val="24"/>
                <w:highlight w:val="none"/>
              </w:rPr>
              <w:t>参数</w:t>
            </w:r>
          </w:p>
        </w:tc>
        <w:tc>
          <w:tcPr>
            <w:tcW w:w="715" w:type="dxa"/>
            <w:noWrap w:val="0"/>
            <w:tcMar>
              <w:top w:w="-1" w:type="dxa"/>
              <w:left w:w="-1" w:type="dxa"/>
              <w:bottom w:w="-1" w:type="dxa"/>
              <w:right w:w="-1" w:type="dxa"/>
            </w:tcMar>
            <w:vAlign w:val="center"/>
          </w:tcPr>
          <w:p w14:paraId="5480666E">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bCs/>
                <w:color w:val="auto"/>
                <w:spacing w:val="4"/>
                <w:position w:val="2"/>
                <w:sz w:val="24"/>
                <w:szCs w:val="24"/>
                <w:highlight w:val="none"/>
                <w:lang w:val="en-US" w:eastAsia="zh-CN"/>
              </w:rPr>
            </w:pPr>
            <w:r>
              <w:rPr>
                <w:rFonts w:hint="eastAsia" w:ascii="宋体" w:hAnsi="宋体" w:eastAsia="宋体" w:cs="宋体"/>
                <w:b/>
                <w:bCs/>
                <w:color w:val="auto"/>
                <w:spacing w:val="4"/>
                <w:position w:val="2"/>
                <w:sz w:val="24"/>
                <w:szCs w:val="24"/>
                <w:highlight w:val="none"/>
                <w:lang w:val="en-US" w:eastAsia="zh-CN"/>
              </w:rPr>
              <w:t>数量</w:t>
            </w:r>
          </w:p>
        </w:tc>
        <w:tc>
          <w:tcPr>
            <w:tcW w:w="811" w:type="dxa"/>
            <w:noWrap w:val="0"/>
            <w:tcMar>
              <w:top w:w="-1" w:type="dxa"/>
              <w:left w:w="-1" w:type="dxa"/>
              <w:bottom w:w="-1" w:type="dxa"/>
              <w:right w:w="-1" w:type="dxa"/>
            </w:tcMar>
            <w:vAlign w:val="center"/>
          </w:tcPr>
          <w:p w14:paraId="3EE4BF43">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bCs/>
                <w:color w:val="auto"/>
                <w:spacing w:val="4"/>
                <w:position w:val="2"/>
                <w:sz w:val="24"/>
                <w:szCs w:val="24"/>
                <w:highlight w:val="none"/>
                <w:lang w:val="en-US" w:eastAsia="zh-CN"/>
              </w:rPr>
            </w:pPr>
            <w:r>
              <w:rPr>
                <w:rFonts w:hint="eastAsia" w:ascii="宋体" w:hAnsi="宋体" w:eastAsia="宋体" w:cs="宋体"/>
                <w:b/>
                <w:bCs/>
                <w:color w:val="auto"/>
                <w:spacing w:val="4"/>
                <w:position w:val="2"/>
                <w:sz w:val="24"/>
                <w:szCs w:val="24"/>
                <w:highlight w:val="none"/>
                <w:lang w:val="en-US" w:eastAsia="zh-CN"/>
              </w:rPr>
              <w:t>单位</w:t>
            </w:r>
          </w:p>
        </w:tc>
      </w:tr>
      <w:tr w14:paraId="35A25A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4" w:hRule="atLeast"/>
        </w:trPr>
        <w:tc>
          <w:tcPr>
            <w:tcW w:w="527" w:type="dxa"/>
            <w:noWrap w:val="0"/>
            <w:tcMar>
              <w:top w:w="-1" w:type="dxa"/>
              <w:left w:w="-1" w:type="dxa"/>
              <w:bottom w:w="-1" w:type="dxa"/>
              <w:right w:w="-1" w:type="dxa"/>
            </w:tcMar>
            <w:vAlign w:val="center"/>
          </w:tcPr>
          <w:p w14:paraId="421D9706">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032" w:type="dxa"/>
            <w:noWrap w:val="0"/>
            <w:tcMar>
              <w:top w:w="-1" w:type="dxa"/>
              <w:left w:w="-1" w:type="dxa"/>
              <w:bottom w:w="-1" w:type="dxa"/>
              <w:right w:w="-1" w:type="dxa"/>
            </w:tcMar>
            <w:vAlign w:val="center"/>
          </w:tcPr>
          <w:p w14:paraId="206ABF6A">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编织布</w:t>
            </w:r>
          </w:p>
        </w:tc>
        <w:tc>
          <w:tcPr>
            <w:tcW w:w="6378" w:type="dxa"/>
            <w:noWrap w:val="0"/>
            <w:tcMar>
              <w:top w:w="-1" w:type="dxa"/>
              <w:left w:w="-1" w:type="dxa"/>
              <w:bottom w:w="-1" w:type="dxa"/>
              <w:right w:w="-1" w:type="dxa"/>
            </w:tcMar>
            <w:vAlign w:val="center"/>
          </w:tcPr>
          <w:p w14:paraId="351FB4C1">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1"/>
                <w:sz w:val="24"/>
                <w:szCs w:val="24"/>
                <w:highlight w:val="none"/>
              </w:rPr>
              <w:t>1.规格：彩条布：6</w:t>
            </w:r>
            <w:r>
              <w:rPr>
                <w:rFonts w:hint="eastAsia" w:ascii="宋体" w:hAnsi="宋体" w:eastAsia="宋体" w:cs="宋体"/>
                <w:color w:val="auto"/>
                <w:spacing w:val="1"/>
                <w:sz w:val="24"/>
                <w:szCs w:val="24"/>
                <w:highlight w:val="none"/>
                <w:lang w:eastAsia="zh-CN"/>
              </w:rPr>
              <w:t>m（</w:t>
            </w:r>
            <w:r>
              <w:rPr>
                <w:rFonts w:hint="eastAsia" w:ascii="宋体" w:hAnsi="宋体" w:eastAsia="宋体" w:cs="宋体"/>
                <w:color w:val="auto"/>
                <w:spacing w:val="1"/>
                <w:sz w:val="24"/>
                <w:szCs w:val="24"/>
                <w:highlight w:val="none"/>
              </w:rPr>
              <w:t>宽</w:t>
            </w:r>
            <w:r>
              <w:rPr>
                <w:rFonts w:hint="eastAsia" w:ascii="宋体" w:hAnsi="宋体" w:eastAsia="宋体" w:cs="宋体"/>
                <w:color w:val="auto"/>
                <w:spacing w:val="1"/>
                <w:sz w:val="24"/>
                <w:szCs w:val="24"/>
                <w:highlight w:val="none"/>
                <w:lang w:eastAsia="zh-CN"/>
              </w:rPr>
              <w:t>）</w:t>
            </w:r>
            <w:r>
              <w:rPr>
                <w:rFonts w:hint="eastAsia" w:ascii="宋体" w:hAnsi="宋体" w:eastAsia="宋体" w:cs="宋体"/>
                <w:color w:val="auto"/>
                <w:spacing w:val="1"/>
                <w:sz w:val="24"/>
                <w:szCs w:val="24"/>
                <w:highlight w:val="none"/>
              </w:rPr>
              <w:t>×50</w:t>
            </w:r>
            <w:r>
              <w:rPr>
                <w:rFonts w:hint="eastAsia" w:ascii="宋体" w:hAnsi="宋体" w:eastAsia="宋体" w:cs="宋体"/>
                <w:color w:val="auto"/>
                <w:spacing w:val="1"/>
                <w:sz w:val="24"/>
                <w:szCs w:val="24"/>
                <w:highlight w:val="none"/>
                <w:lang w:eastAsia="zh-CN"/>
              </w:rPr>
              <w:t>m（</w:t>
            </w:r>
            <w:r>
              <w:rPr>
                <w:rFonts w:hint="eastAsia" w:ascii="宋体" w:hAnsi="宋体" w:eastAsia="宋体" w:cs="宋体"/>
                <w:color w:val="auto"/>
                <w:spacing w:val="1"/>
                <w:sz w:val="24"/>
                <w:szCs w:val="24"/>
                <w:highlight w:val="none"/>
              </w:rPr>
              <w:t>长</w:t>
            </w:r>
            <w:r>
              <w:rPr>
                <w:rFonts w:hint="eastAsia" w:ascii="宋体" w:hAnsi="宋体" w:eastAsia="宋体" w:cs="宋体"/>
                <w:color w:val="auto"/>
                <w:spacing w:val="1"/>
                <w:sz w:val="24"/>
                <w:szCs w:val="24"/>
                <w:highlight w:val="none"/>
                <w:lang w:eastAsia="zh-CN"/>
              </w:rPr>
              <w:t>）。</w:t>
            </w:r>
          </w:p>
          <w:p w14:paraId="06A7FC18">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1"/>
                <w:sz w:val="24"/>
                <w:szCs w:val="24"/>
                <w:highlight w:val="none"/>
              </w:rPr>
              <w:t>2.材质：聚乙烯（</w:t>
            </w:r>
            <w:r>
              <w:rPr>
                <w:rFonts w:hint="eastAsia" w:ascii="宋体" w:hAnsi="宋体" w:eastAsia="宋体" w:cs="宋体"/>
                <w:color w:val="auto"/>
                <w:sz w:val="24"/>
                <w:szCs w:val="24"/>
                <w:highlight w:val="none"/>
              </w:rPr>
              <w:t>PE</w:t>
            </w:r>
            <w:r>
              <w:rPr>
                <w:rFonts w:hint="eastAsia" w:ascii="宋体" w:hAnsi="宋体" w:eastAsia="宋体" w:cs="宋体"/>
                <w:color w:val="auto"/>
                <w:spacing w:val="1"/>
                <w:sz w:val="24"/>
                <w:szCs w:val="24"/>
                <w:highlight w:val="none"/>
              </w:rPr>
              <w:t>）120</w:t>
            </w:r>
            <w:r>
              <w:rPr>
                <w:rFonts w:hint="eastAsia" w:ascii="宋体" w:hAnsi="宋体" w:eastAsia="宋体" w:cs="宋体"/>
                <w:color w:val="auto"/>
                <w:spacing w:val="1"/>
                <w:sz w:val="24"/>
                <w:szCs w:val="24"/>
                <w:highlight w:val="none"/>
                <w:lang w:val="en-US" w:eastAsia="zh-CN"/>
              </w:rPr>
              <w:t>g</w:t>
            </w:r>
            <w:r>
              <w:rPr>
                <w:rFonts w:hint="eastAsia" w:ascii="宋体" w:hAnsi="宋体" w:eastAsia="宋体" w:cs="宋体"/>
                <w:color w:val="auto"/>
                <w:spacing w:val="1"/>
                <w:sz w:val="24"/>
                <w:szCs w:val="24"/>
                <w:highlight w:val="none"/>
              </w:rPr>
              <w:t>全新料</w:t>
            </w:r>
            <w:r>
              <w:rPr>
                <w:rFonts w:hint="eastAsia" w:ascii="宋体" w:hAnsi="宋体" w:eastAsia="宋体" w:cs="宋体"/>
                <w:color w:val="auto"/>
                <w:spacing w:val="1"/>
                <w:sz w:val="24"/>
                <w:szCs w:val="24"/>
                <w:highlight w:val="none"/>
                <w:lang w:eastAsia="zh-CN"/>
              </w:rPr>
              <w:t>。</w:t>
            </w:r>
          </w:p>
          <w:p w14:paraId="145EFB61">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1"/>
                <w:sz w:val="24"/>
                <w:szCs w:val="24"/>
                <w:highlight w:val="none"/>
              </w:rPr>
              <w:t>3.功能：防晒</w:t>
            </w:r>
            <w:r>
              <w:rPr>
                <w:rFonts w:hint="eastAsia" w:ascii="宋体" w:hAnsi="宋体" w:eastAsia="宋体" w:cs="宋体"/>
                <w:color w:val="auto"/>
                <w:spacing w:val="1"/>
                <w:sz w:val="24"/>
                <w:szCs w:val="24"/>
                <w:highlight w:val="none"/>
                <w:lang w:eastAsia="zh-CN"/>
              </w:rPr>
              <w:t>、</w:t>
            </w:r>
            <w:r>
              <w:rPr>
                <w:rFonts w:hint="eastAsia" w:ascii="宋体" w:hAnsi="宋体" w:eastAsia="宋体" w:cs="宋体"/>
                <w:color w:val="auto"/>
                <w:spacing w:val="1"/>
                <w:sz w:val="24"/>
                <w:szCs w:val="24"/>
                <w:highlight w:val="none"/>
              </w:rPr>
              <w:t>防水</w:t>
            </w:r>
            <w:r>
              <w:rPr>
                <w:rFonts w:hint="eastAsia" w:ascii="宋体" w:hAnsi="宋体" w:eastAsia="宋体" w:cs="宋体"/>
                <w:color w:val="auto"/>
                <w:spacing w:val="1"/>
                <w:sz w:val="24"/>
                <w:szCs w:val="24"/>
                <w:highlight w:val="none"/>
                <w:lang w:eastAsia="zh-CN"/>
              </w:rPr>
              <w:t>、</w:t>
            </w:r>
            <w:r>
              <w:rPr>
                <w:rFonts w:hint="eastAsia" w:ascii="宋体" w:hAnsi="宋体" w:eastAsia="宋体" w:cs="宋体"/>
                <w:color w:val="auto"/>
                <w:spacing w:val="1"/>
                <w:sz w:val="24"/>
                <w:szCs w:val="24"/>
                <w:highlight w:val="none"/>
              </w:rPr>
              <w:t>抗老化</w:t>
            </w:r>
            <w:r>
              <w:rPr>
                <w:rFonts w:hint="eastAsia" w:ascii="宋体" w:hAnsi="宋体" w:eastAsia="宋体" w:cs="宋体"/>
                <w:color w:val="auto"/>
                <w:spacing w:val="1"/>
                <w:sz w:val="24"/>
                <w:szCs w:val="24"/>
                <w:highlight w:val="none"/>
                <w:lang w:eastAsia="zh-CN"/>
              </w:rPr>
              <w:t>。</w:t>
            </w:r>
          </w:p>
        </w:tc>
        <w:tc>
          <w:tcPr>
            <w:tcW w:w="715" w:type="dxa"/>
            <w:noWrap w:val="0"/>
            <w:tcMar>
              <w:top w:w="-1" w:type="dxa"/>
              <w:left w:w="-1" w:type="dxa"/>
              <w:bottom w:w="-1" w:type="dxa"/>
              <w:right w:w="-1" w:type="dxa"/>
            </w:tcMar>
            <w:vAlign w:val="center"/>
          </w:tcPr>
          <w:p w14:paraId="5FFCF8AF">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1"/>
                <w:sz w:val="24"/>
                <w:szCs w:val="24"/>
                <w:highlight w:val="none"/>
                <w:lang w:val="en-US" w:eastAsia="zh-CN"/>
              </w:rPr>
            </w:pPr>
            <w:r>
              <w:rPr>
                <w:rFonts w:hint="eastAsia" w:ascii="宋体" w:hAnsi="宋体" w:eastAsia="宋体" w:cs="宋体"/>
                <w:b w:val="0"/>
                <w:bCs w:val="0"/>
                <w:color w:val="auto"/>
                <w:spacing w:val="1"/>
                <w:sz w:val="24"/>
                <w:szCs w:val="24"/>
                <w:highlight w:val="none"/>
                <w:lang w:val="en-US" w:eastAsia="zh-CN"/>
              </w:rPr>
              <w:t>1</w:t>
            </w:r>
          </w:p>
        </w:tc>
        <w:tc>
          <w:tcPr>
            <w:tcW w:w="811" w:type="dxa"/>
            <w:noWrap w:val="0"/>
            <w:tcMar>
              <w:top w:w="-1" w:type="dxa"/>
              <w:left w:w="-1" w:type="dxa"/>
              <w:bottom w:w="-1" w:type="dxa"/>
              <w:right w:w="-1" w:type="dxa"/>
            </w:tcMar>
            <w:vAlign w:val="center"/>
          </w:tcPr>
          <w:p w14:paraId="5373A3A6">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1"/>
                <w:sz w:val="24"/>
                <w:szCs w:val="24"/>
                <w:highlight w:val="none"/>
                <w:lang w:val="en-US" w:eastAsia="zh-CN"/>
              </w:rPr>
            </w:pPr>
            <w:r>
              <w:rPr>
                <w:rFonts w:hint="eastAsia" w:ascii="宋体" w:hAnsi="宋体" w:eastAsia="宋体" w:cs="宋体"/>
                <w:b w:val="0"/>
                <w:bCs w:val="0"/>
                <w:color w:val="auto"/>
                <w:spacing w:val="1"/>
                <w:sz w:val="24"/>
                <w:szCs w:val="24"/>
                <w:highlight w:val="none"/>
                <w:lang w:val="en-US" w:eastAsia="zh-CN"/>
              </w:rPr>
              <w:t>万平方米</w:t>
            </w:r>
          </w:p>
        </w:tc>
      </w:tr>
      <w:tr w14:paraId="0CD5BE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9" w:hRule="atLeast"/>
        </w:trPr>
        <w:tc>
          <w:tcPr>
            <w:tcW w:w="527" w:type="dxa"/>
            <w:noWrap w:val="0"/>
            <w:tcMar>
              <w:top w:w="-1" w:type="dxa"/>
              <w:left w:w="-1" w:type="dxa"/>
              <w:bottom w:w="-1" w:type="dxa"/>
              <w:right w:w="-1" w:type="dxa"/>
            </w:tcMar>
            <w:vAlign w:val="center"/>
          </w:tcPr>
          <w:p w14:paraId="35C21A70">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032" w:type="dxa"/>
            <w:noWrap w:val="0"/>
            <w:tcMar>
              <w:top w:w="-1" w:type="dxa"/>
              <w:left w:w="-1" w:type="dxa"/>
              <w:bottom w:w="-1" w:type="dxa"/>
              <w:right w:w="-1" w:type="dxa"/>
            </w:tcMar>
            <w:vAlign w:val="center"/>
          </w:tcPr>
          <w:p w14:paraId="74775DC8">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铅丝</w:t>
            </w:r>
          </w:p>
        </w:tc>
        <w:tc>
          <w:tcPr>
            <w:tcW w:w="6378" w:type="dxa"/>
            <w:noWrap w:val="0"/>
            <w:tcMar>
              <w:top w:w="-1" w:type="dxa"/>
              <w:left w:w="-1" w:type="dxa"/>
              <w:bottom w:w="-1" w:type="dxa"/>
              <w:right w:w="-1" w:type="dxa"/>
            </w:tcMar>
            <w:vAlign w:val="center"/>
          </w:tcPr>
          <w:p w14:paraId="5394E66D">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pacing w:val="2"/>
                <w:sz w:val="24"/>
                <w:szCs w:val="24"/>
                <w:highlight w:val="none"/>
                <w:lang w:eastAsia="zh-CN"/>
              </w:rPr>
            </w:pPr>
            <w:r>
              <w:rPr>
                <w:rFonts w:hint="eastAsia" w:ascii="宋体" w:hAnsi="宋体" w:eastAsia="宋体" w:cs="宋体"/>
                <w:snapToGrid w:val="0"/>
                <w:color w:val="auto"/>
                <w:spacing w:val="2"/>
                <w:kern w:val="0"/>
                <w:sz w:val="24"/>
                <w:szCs w:val="24"/>
                <w:highlight w:val="none"/>
                <w:lang w:val="en-US" w:eastAsia="en-US" w:bidi="ar-SA"/>
              </w:rPr>
              <w:t>1.</w:t>
            </w:r>
            <w:r>
              <w:rPr>
                <w:rFonts w:hint="eastAsia" w:ascii="宋体" w:hAnsi="宋体" w:eastAsia="宋体" w:cs="宋体"/>
                <w:color w:val="auto"/>
                <w:spacing w:val="2"/>
                <w:sz w:val="24"/>
                <w:szCs w:val="24"/>
                <w:highlight w:val="none"/>
              </w:rPr>
              <w:t>直径</w:t>
            </w:r>
            <w:r>
              <w:rPr>
                <w:rFonts w:hint="eastAsia" w:ascii="宋体" w:hAnsi="宋体" w:eastAsia="宋体" w:cs="宋体"/>
                <w:color w:val="auto"/>
                <w:spacing w:val="2"/>
                <w:sz w:val="24"/>
                <w:szCs w:val="24"/>
                <w:highlight w:val="none"/>
                <w:lang w:val="en-US" w:eastAsia="zh-CN"/>
              </w:rPr>
              <w:t>≥</w:t>
            </w:r>
            <w:r>
              <w:rPr>
                <w:rFonts w:hint="eastAsia" w:ascii="宋体" w:hAnsi="宋体" w:eastAsia="宋体" w:cs="宋体"/>
                <w:color w:val="auto"/>
                <w:spacing w:val="2"/>
                <w:sz w:val="24"/>
                <w:szCs w:val="24"/>
                <w:highlight w:val="none"/>
              </w:rPr>
              <w:t>0.3</w:t>
            </w:r>
            <w:r>
              <w:rPr>
                <w:rFonts w:hint="eastAsia" w:ascii="宋体" w:hAnsi="宋体" w:eastAsia="宋体" w:cs="宋体"/>
                <w:color w:val="auto"/>
                <w:sz w:val="24"/>
                <w:szCs w:val="24"/>
                <w:highlight w:val="none"/>
              </w:rPr>
              <w:t>mm</w:t>
            </w:r>
            <w:r>
              <w:rPr>
                <w:rFonts w:hint="eastAsia" w:ascii="宋体" w:hAnsi="宋体" w:eastAsia="宋体" w:cs="宋体"/>
                <w:color w:val="auto"/>
                <w:spacing w:val="2"/>
                <w:sz w:val="24"/>
                <w:szCs w:val="24"/>
                <w:highlight w:val="none"/>
              </w:rPr>
              <w:t>,镀锌</w:t>
            </w:r>
            <w:r>
              <w:rPr>
                <w:rFonts w:hint="eastAsia" w:ascii="宋体" w:hAnsi="宋体" w:eastAsia="宋体" w:cs="宋体"/>
                <w:color w:val="auto"/>
                <w:spacing w:val="2"/>
                <w:sz w:val="24"/>
                <w:szCs w:val="24"/>
                <w:highlight w:val="none"/>
                <w:lang w:eastAsia="zh-CN"/>
              </w:rPr>
              <w:t>。</w:t>
            </w:r>
          </w:p>
          <w:p w14:paraId="13059340">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2"/>
                <w:sz w:val="24"/>
                <w:szCs w:val="24"/>
                <w:highlight w:val="none"/>
              </w:rPr>
              <w:t>2.单丝抗拉强度350</w:t>
            </w:r>
            <w:r>
              <w:rPr>
                <w:rFonts w:hint="eastAsia" w:ascii="宋体" w:hAnsi="宋体" w:eastAsia="宋体" w:cs="宋体"/>
                <w:color w:val="auto"/>
                <w:sz w:val="24"/>
                <w:szCs w:val="24"/>
                <w:highlight w:val="none"/>
              </w:rPr>
              <w:t>～</w:t>
            </w:r>
            <w:r>
              <w:rPr>
                <w:rFonts w:hint="eastAsia" w:ascii="宋体" w:hAnsi="宋体" w:eastAsia="宋体" w:cs="宋体"/>
                <w:color w:val="auto"/>
                <w:spacing w:val="2"/>
                <w:sz w:val="24"/>
                <w:szCs w:val="24"/>
                <w:highlight w:val="none"/>
              </w:rPr>
              <w:t>550</w:t>
            </w:r>
            <w:r>
              <w:rPr>
                <w:rFonts w:hint="eastAsia" w:ascii="宋体" w:hAnsi="宋体" w:eastAsia="宋体" w:cs="宋体"/>
                <w:color w:val="auto"/>
                <w:sz w:val="24"/>
                <w:szCs w:val="24"/>
                <w:highlight w:val="none"/>
              </w:rPr>
              <w:t>MPa</w:t>
            </w:r>
            <w:r>
              <w:rPr>
                <w:rFonts w:hint="eastAsia" w:ascii="宋体" w:hAnsi="宋体" w:eastAsia="宋体" w:cs="宋体"/>
                <w:color w:val="auto"/>
                <w:sz w:val="24"/>
                <w:szCs w:val="24"/>
                <w:highlight w:val="none"/>
                <w:lang w:eastAsia="zh-CN"/>
              </w:rPr>
              <w:t>。</w:t>
            </w:r>
          </w:p>
          <w:p w14:paraId="4FDA5605">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2"/>
                <w:sz w:val="24"/>
                <w:szCs w:val="24"/>
                <w:highlight w:val="none"/>
              </w:rPr>
              <w:t>3.钢丝抗拉强度≥1400</w:t>
            </w:r>
            <w:r>
              <w:rPr>
                <w:rFonts w:hint="eastAsia" w:ascii="宋体" w:hAnsi="宋体" w:eastAsia="宋体" w:cs="宋体"/>
                <w:color w:val="auto"/>
                <w:sz w:val="24"/>
                <w:szCs w:val="24"/>
                <w:highlight w:val="none"/>
                <w:lang w:val="en-US" w:eastAsia="zh-CN"/>
              </w:rPr>
              <w:t>MPa</w:t>
            </w:r>
            <w:r>
              <w:rPr>
                <w:rFonts w:hint="eastAsia" w:ascii="宋体" w:hAnsi="宋体" w:eastAsia="宋体" w:cs="宋体"/>
                <w:color w:val="auto"/>
                <w:sz w:val="24"/>
                <w:szCs w:val="24"/>
                <w:highlight w:val="none"/>
                <w:lang w:eastAsia="zh-CN"/>
              </w:rPr>
              <w:t>。</w:t>
            </w:r>
          </w:p>
          <w:p w14:paraId="7F63C05D">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2"/>
                <w:sz w:val="24"/>
                <w:szCs w:val="24"/>
                <w:highlight w:val="none"/>
              </w:rPr>
              <w:t>4.伸长率≥10%</w:t>
            </w:r>
            <w:r>
              <w:rPr>
                <w:rFonts w:hint="eastAsia" w:ascii="宋体" w:hAnsi="宋体" w:eastAsia="宋体" w:cs="宋体"/>
                <w:color w:val="auto"/>
                <w:spacing w:val="2"/>
                <w:sz w:val="24"/>
                <w:szCs w:val="24"/>
                <w:highlight w:val="none"/>
                <w:lang w:eastAsia="zh-CN"/>
              </w:rPr>
              <w:t>。</w:t>
            </w:r>
          </w:p>
        </w:tc>
        <w:tc>
          <w:tcPr>
            <w:tcW w:w="715" w:type="dxa"/>
            <w:noWrap w:val="0"/>
            <w:tcMar>
              <w:top w:w="-1" w:type="dxa"/>
              <w:left w:w="-1" w:type="dxa"/>
              <w:bottom w:w="-1" w:type="dxa"/>
              <w:right w:w="-1" w:type="dxa"/>
            </w:tcMar>
            <w:vAlign w:val="center"/>
          </w:tcPr>
          <w:p w14:paraId="3C2CFA37">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2"/>
                <w:sz w:val="24"/>
                <w:szCs w:val="24"/>
                <w:highlight w:val="none"/>
                <w:lang w:val="en-US" w:eastAsia="zh-CN"/>
              </w:rPr>
            </w:pPr>
            <w:r>
              <w:rPr>
                <w:rFonts w:hint="eastAsia" w:ascii="宋体" w:hAnsi="宋体" w:eastAsia="宋体" w:cs="宋体"/>
                <w:b w:val="0"/>
                <w:bCs w:val="0"/>
                <w:color w:val="auto"/>
                <w:spacing w:val="2"/>
                <w:sz w:val="24"/>
                <w:szCs w:val="24"/>
                <w:highlight w:val="none"/>
                <w:lang w:val="en-US" w:eastAsia="zh-CN"/>
              </w:rPr>
              <w:t>2</w:t>
            </w:r>
          </w:p>
        </w:tc>
        <w:tc>
          <w:tcPr>
            <w:tcW w:w="811" w:type="dxa"/>
            <w:noWrap w:val="0"/>
            <w:tcMar>
              <w:top w:w="-1" w:type="dxa"/>
              <w:left w:w="-1" w:type="dxa"/>
              <w:bottom w:w="-1" w:type="dxa"/>
              <w:right w:w="-1" w:type="dxa"/>
            </w:tcMar>
            <w:vAlign w:val="center"/>
          </w:tcPr>
          <w:p w14:paraId="632D160B">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2"/>
                <w:sz w:val="24"/>
                <w:szCs w:val="24"/>
                <w:highlight w:val="none"/>
                <w:lang w:val="en-US" w:eastAsia="zh-CN"/>
              </w:rPr>
            </w:pPr>
            <w:r>
              <w:rPr>
                <w:rFonts w:hint="eastAsia" w:ascii="宋体" w:hAnsi="宋体" w:eastAsia="宋体" w:cs="宋体"/>
                <w:b w:val="0"/>
                <w:bCs w:val="0"/>
                <w:color w:val="auto"/>
                <w:spacing w:val="2"/>
                <w:sz w:val="24"/>
                <w:szCs w:val="24"/>
                <w:highlight w:val="none"/>
                <w:lang w:val="en-US" w:eastAsia="zh-CN"/>
              </w:rPr>
              <w:t>吨</w:t>
            </w:r>
          </w:p>
        </w:tc>
      </w:tr>
      <w:tr w14:paraId="6A13DF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7" w:type="dxa"/>
            <w:noWrap w:val="0"/>
            <w:tcMar>
              <w:top w:w="-1" w:type="dxa"/>
              <w:left w:w="-1" w:type="dxa"/>
              <w:bottom w:w="-1" w:type="dxa"/>
              <w:right w:w="-1" w:type="dxa"/>
            </w:tcMar>
            <w:vAlign w:val="center"/>
          </w:tcPr>
          <w:p w14:paraId="38DADF09">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1032" w:type="dxa"/>
            <w:noWrap w:val="0"/>
            <w:tcMar>
              <w:top w:w="-1" w:type="dxa"/>
              <w:left w:w="-1" w:type="dxa"/>
              <w:bottom w:w="-1" w:type="dxa"/>
              <w:right w:w="-1" w:type="dxa"/>
            </w:tcMar>
            <w:vAlign w:val="center"/>
          </w:tcPr>
          <w:p w14:paraId="40A09C98">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桩木</w:t>
            </w:r>
          </w:p>
        </w:tc>
        <w:tc>
          <w:tcPr>
            <w:tcW w:w="6378" w:type="dxa"/>
            <w:noWrap w:val="0"/>
            <w:tcMar>
              <w:top w:w="-1" w:type="dxa"/>
              <w:left w:w="-1" w:type="dxa"/>
              <w:bottom w:w="-1" w:type="dxa"/>
              <w:right w:w="-1" w:type="dxa"/>
            </w:tcMar>
            <w:vAlign w:val="center"/>
          </w:tcPr>
          <w:p w14:paraId="46840A1B">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1"/>
                <w:sz w:val="24"/>
                <w:szCs w:val="24"/>
                <w:highlight w:val="none"/>
              </w:rPr>
              <w:t>1.规格：长3</w:t>
            </w:r>
            <w:r>
              <w:rPr>
                <w:rFonts w:hint="eastAsia" w:ascii="宋体" w:hAnsi="宋体" w:eastAsia="宋体" w:cs="宋体"/>
                <w:color w:val="auto"/>
                <w:spacing w:val="1"/>
                <w:sz w:val="24"/>
                <w:szCs w:val="24"/>
                <w:highlight w:val="none"/>
                <w:lang w:eastAsia="zh-CN"/>
              </w:rPr>
              <w:t>m</w:t>
            </w:r>
            <w:r>
              <w:rPr>
                <w:rFonts w:hint="eastAsia" w:ascii="宋体" w:hAnsi="宋体" w:eastAsia="宋体" w:cs="宋体"/>
                <w:color w:val="auto"/>
                <w:spacing w:val="1"/>
                <w:sz w:val="24"/>
                <w:szCs w:val="24"/>
                <w:highlight w:val="none"/>
              </w:rPr>
              <w:t>，直径10</w:t>
            </w:r>
            <w:r>
              <w:rPr>
                <w:rFonts w:hint="eastAsia" w:ascii="宋体" w:hAnsi="宋体" w:eastAsia="宋体" w:cs="宋体"/>
                <w:color w:val="auto"/>
                <w:sz w:val="24"/>
                <w:szCs w:val="24"/>
                <w:highlight w:val="none"/>
              </w:rPr>
              <w:t>cm</w:t>
            </w:r>
            <w:r>
              <w:rPr>
                <w:rFonts w:hint="eastAsia" w:ascii="宋体" w:hAnsi="宋体" w:eastAsia="宋体" w:cs="宋体"/>
                <w:color w:val="auto"/>
                <w:spacing w:val="1"/>
                <w:sz w:val="24"/>
                <w:szCs w:val="24"/>
                <w:highlight w:val="none"/>
              </w:rPr>
              <w:t>±1</w:t>
            </w:r>
            <w:r>
              <w:rPr>
                <w:rFonts w:hint="eastAsia" w:ascii="宋体" w:hAnsi="宋体" w:eastAsia="宋体" w:cs="宋体"/>
                <w:color w:val="auto"/>
                <w:sz w:val="24"/>
                <w:szCs w:val="24"/>
                <w:highlight w:val="none"/>
              </w:rPr>
              <w:t>cm</w:t>
            </w:r>
            <w:r>
              <w:rPr>
                <w:rFonts w:hint="eastAsia" w:ascii="宋体" w:hAnsi="宋体" w:eastAsia="宋体" w:cs="宋体"/>
                <w:color w:val="auto"/>
                <w:sz w:val="24"/>
                <w:szCs w:val="24"/>
                <w:highlight w:val="none"/>
                <w:lang w:eastAsia="zh-CN"/>
              </w:rPr>
              <w:t>。</w:t>
            </w:r>
          </w:p>
          <w:p w14:paraId="158D4207">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2"/>
                <w:sz w:val="24"/>
                <w:szCs w:val="24"/>
                <w:highlight w:val="none"/>
              </w:rPr>
              <w:t>2.材质：松木</w:t>
            </w:r>
            <w:r>
              <w:rPr>
                <w:rFonts w:hint="eastAsia" w:ascii="宋体" w:hAnsi="宋体" w:eastAsia="宋体" w:cs="宋体"/>
                <w:color w:val="auto"/>
                <w:spacing w:val="-2"/>
                <w:sz w:val="24"/>
                <w:szCs w:val="24"/>
                <w:highlight w:val="none"/>
                <w:lang w:eastAsia="zh-CN"/>
              </w:rPr>
              <w:t>。</w:t>
            </w:r>
          </w:p>
          <w:p w14:paraId="602A3B5B">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1"/>
                <w:sz w:val="24"/>
                <w:szCs w:val="24"/>
                <w:highlight w:val="none"/>
              </w:rPr>
              <w:t>3.一头削尖</w:t>
            </w:r>
            <w:r>
              <w:rPr>
                <w:rFonts w:hint="eastAsia" w:ascii="宋体" w:hAnsi="宋体" w:eastAsia="宋体" w:cs="宋体"/>
                <w:color w:val="auto"/>
                <w:spacing w:val="1"/>
                <w:sz w:val="24"/>
                <w:szCs w:val="24"/>
                <w:highlight w:val="none"/>
                <w:lang w:eastAsia="zh-CN"/>
              </w:rPr>
              <w:t>。</w:t>
            </w:r>
          </w:p>
        </w:tc>
        <w:tc>
          <w:tcPr>
            <w:tcW w:w="715" w:type="dxa"/>
            <w:noWrap w:val="0"/>
            <w:tcMar>
              <w:top w:w="-1" w:type="dxa"/>
              <w:left w:w="-1" w:type="dxa"/>
              <w:bottom w:w="-1" w:type="dxa"/>
              <w:right w:w="-1" w:type="dxa"/>
            </w:tcMar>
            <w:vAlign w:val="center"/>
          </w:tcPr>
          <w:p w14:paraId="2894EA65">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1"/>
                <w:sz w:val="24"/>
                <w:szCs w:val="24"/>
                <w:highlight w:val="none"/>
                <w:lang w:val="en-US" w:eastAsia="zh-CN"/>
              </w:rPr>
            </w:pPr>
            <w:r>
              <w:rPr>
                <w:rFonts w:hint="eastAsia" w:ascii="宋体" w:hAnsi="宋体" w:eastAsia="宋体" w:cs="宋体"/>
                <w:b w:val="0"/>
                <w:bCs w:val="0"/>
                <w:color w:val="auto"/>
                <w:spacing w:val="1"/>
                <w:sz w:val="24"/>
                <w:szCs w:val="24"/>
                <w:highlight w:val="none"/>
                <w:lang w:val="en-US" w:eastAsia="zh-CN"/>
              </w:rPr>
              <w:t>10000</w:t>
            </w:r>
          </w:p>
        </w:tc>
        <w:tc>
          <w:tcPr>
            <w:tcW w:w="811" w:type="dxa"/>
            <w:noWrap w:val="0"/>
            <w:tcMar>
              <w:top w:w="-1" w:type="dxa"/>
              <w:left w:w="-1" w:type="dxa"/>
              <w:bottom w:w="-1" w:type="dxa"/>
              <w:right w:w="-1" w:type="dxa"/>
            </w:tcMar>
            <w:vAlign w:val="center"/>
          </w:tcPr>
          <w:p w14:paraId="1C7B0556">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1"/>
                <w:sz w:val="24"/>
                <w:szCs w:val="24"/>
                <w:highlight w:val="none"/>
                <w:lang w:val="en-US" w:eastAsia="zh-CN"/>
              </w:rPr>
            </w:pPr>
            <w:r>
              <w:rPr>
                <w:rFonts w:hint="eastAsia" w:ascii="宋体" w:hAnsi="宋体" w:eastAsia="宋体" w:cs="宋体"/>
                <w:b w:val="0"/>
                <w:bCs w:val="0"/>
                <w:color w:val="auto"/>
                <w:spacing w:val="1"/>
                <w:sz w:val="24"/>
                <w:szCs w:val="24"/>
                <w:highlight w:val="none"/>
                <w:lang w:val="en-US" w:eastAsia="zh-CN"/>
              </w:rPr>
              <w:t>根</w:t>
            </w:r>
          </w:p>
        </w:tc>
      </w:tr>
      <w:tr w14:paraId="034C5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527" w:type="dxa"/>
            <w:noWrap w:val="0"/>
            <w:tcMar>
              <w:top w:w="-1" w:type="dxa"/>
              <w:left w:w="-1" w:type="dxa"/>
              <w:bottom w:w="-1" w:type="dxa"/>
              <w:right w:w="-1" w:type="dxa"/>
            </w:tcMar>
            <w:vAlign w:val="center"/>
          </w:tcPr>
          <w:p w14:paraId="2FDF8AFB">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1032" w:type="dxa"/>
            <w:noWrap w:val="0"/>
            <w:tcMar>
              <w:top w:w="-1" w:type="dxa"/>
              <w:left w:w="-1" w:type="dxa"/>
              <w:bottom w:w="-1" w:type="dxa"/>
              <w:right w:w="-1" w:type="dxa"/>
            </w:tcMar>
            <w:vAlign w:val="center"/>
          </w:tcPr>
          <w:p w14:paraId="57C13A79">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钢管</w:t>
            </w:r>
          </w:p>
        </w:tc>
        <w:tc>
          <w:tcPr>
            <w:tcW w:w="6378" w:type="dxa"/>
            <w:noWrap w:val="0"/>
            <w:tcMar>
              <w:top w:w="-1" w:type="dxa"/>
              <w:left w:w="-1" w:type="dxa"/>
              <w:bottom w:w="-1" w:type="dxa"/>
              <w:right w:w="-1" w:type="dxa"/>
            </w:tcMar>
            <w:vAlign w:val="center"/>
          </w:tcPr>
          <w:p w14:paraId="1D3B1445">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pacing w:val="2"/>
                <w:position w:val="2"/>
                <w:sz w:val="24"/>
                <w:szCs w:val="24"/>
                <w:highlight w:val="none"/>
              </w:rPr>
              <w:t>1.壁厚</w:t>
            </w:r>
            <w:r>
              <w:rPr>
                <w:rFonts w:hint="eastAsia" w:ascii="宋体" w:hAnsi="宋体" w:eastAsia="宋体" w:cs="宋体"/>
                <w:color w:val="auto"/>
                <w:spacing w:val="2"/>
                <w:sz w:val="24"/>
                <w:szCs w:val="24"/>
                <w:highlight w:val="none"/>
                <w:lang w:val="en-US" w:eastAsia="zh-CN"/>
              </w:rPr>
              <w:t>≥</w:t>
            </w:r>
            <w:r>
              <w:rPr>
                <w:rFonts w:hint="eastAsia" w:ascii="宋体" w:hAnsi="宋体" w:eastAsia="宋体" w:cs="宋体"/>
                <w:color w:val="auto"/>
                <w:spacing w:val="2"/>
                <w:position w:val="2"/>
                <w:sz w:val="24"/>
                <w:szCs w:val="24"/>
                <w:highlight w:val="none"/>
              </w:rPr>
              <w:t>2.2</w:t>
            </w:r>
            <w:r>
              <w:rPr>
                <w:rFonts w:hint="eastAsia" w:ascii="宋体" w:hAnsi="宋体" w:eastAsia="宋体" w:cs="宋体"/>
                <w:color w:val="auto"/>
                <w:spacing w:val="2"/>
                <w:position w:val="2"/>
                <w:sz w:val="24"/>
                <w:szCs w:val="24"/>
                <w:highlight w:val="none"/>
                <w:lang w:eastAsia="zh-CN"/>
              </w:rPr>
              <w:t>mm</w:t>
            </w:r>
            <w:r>
              <w:rPr>
                <w:rFonts w:hint="eastAsia" w:ascii="宋体" w:hAnsi="宋体" w:eastAsia="宋体" w:cs="宋体"/>
                <w:color w:val="auto"/>
                <w:spacing w:val="2"/>
                <w:position w:val="2"/>
                <w:sz w:val="24"/>
                <w:szCs w:val="24"/>
                <w:highlight w:val="none"/>
              </w:rPr>
              <w:t>，直径4.8㎝，长6m</w:t>
            </w:r>
            <w:r>
              <w:rPr>
                <w:rFonts w:hint="eastAsia" w:ascii="宋体" w:hAnsi="宋体" w:eastAsia="宋体" w:cs="宋体"/>
                <w:color w:val="auto"/>
                <w:spacing w:val="2"/>
                <w:position w:val="2"/>
                <w:sz w:val="24"/>
                <w:szCs w:val="24"/>
                <w:highlight w:val="none"/>
                <w:lang w:eastAsia="zh-CN"/>
              </w:rPr>
              <w:t>。</w:t>
            </w:r>
          </w:p>
        </w:tc>
        <w:tc>
          <w:tcPr>
            <w:tcW w:w="715" w:type="dxa"/>
            <w:noWrap w:val="0"/>
            <w:tcMar>
              <w:top w:w="-1" w:type="dxa"/>
              <w:left w:w="-1" w:type="dxa"/>
              <w:bottom w:w="-1" w:type="dxa"/>
              <w:right w:w="-1" w:type="dxa"/>
            </w:tcMar>
            <w:vAlign w:val="center"/>
          </w:tcPr>
          <w:p w14:paraId="67221008">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w:t>
            </w:r>
          </w:p>
        </w:tc>
        <w:tc>
          <w:tcPr>
            <w:tcW w:w="811" w:type="dxa"/>
            <w:noWrap w:val="0"/>
            <w:tcMar>
              <w:top w:w="-1" w:type="dxa"/>
              <w:left w:w="-1" w:type="dxa"/>
              <w:bottom w:w="-1" w:type="dxa"/>
              <w:right w:w="-1" w:type="dxa"/>
            </w:tcMar>
            <w:vAlign w:val="center"/>
          </w:tcPr>
          <w:p w14:paraId="2FBBE90B">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吨</w:t>
            </w:r>
          </w:p>
        </w:tc>
      </w:tr>
      <w:tr w14:paraId="5315F7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3" w:hRule="atLeast"/>
        </w:trPr>
        <w:tc>
          <w:tcPr>
            <w:tcW w:w="527" w:type="dxa"/>
            <w:noWrap w:val="0"/>
            <w:tcMar>
              <w:top w:w="-1" w:type="dxa"/>
              <w:left w:w="-1" w:type="dxa"/>
              <w:bottom w:w="-1" w:type="dxa"/>
              <w:right w:w="-1" w:type="dxa"/>
            </w:tcMar>
            <w:vAlign w:val="center"/>
          </w:tcPr>
          <w:p w14:paraId="0123F563">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1032" w:type="dxa"/>
            <w:noWrap w:val="0"/>
            <w:tcMar>
              <w:top w:w="-1" w:type="dxa"/>
              <w:left w:w="-1" w:type="dxa"/>
              <w:bottom w:w="-1" w:type="dxa"/>
              <w:right w:w="-1" w:type="dxa"/>
            </w:tcMar>
            <w:vAlign w:val="center"/>
          </w:tcPr>
          <w:p w14:paraId="3297749B">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救生衣</w:t>
            </w:r>
          </w:p>
        </w:tc>
        <w:tc>
          <w:tcPr>
            <w:tcW w:w="6378" w:type="dxa"/>
            <w:noWrap w:val="0"/>
            <w:tcMar>
              <w:top w:w="-1" w:type="dxa"/>
              <w:left w:w="-1" w:type="dxa"/>
              <w:bottom w:w="-1" w:type="dxa"/>
              <w:right w:w="-1" w:type="dxa"/>
            </w:tcMar>
            <w:vAlign w:val="center"/>
          </w:tcPr>
          <w:p w14:paraId="0AA92A44">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3"/>
                <w:sz w:val="24"/>
                <w:szCs w:val="24"/>
                <w:highlight w:val="none"/>
              </w:rPr>
              <w:t>1</w:t>
            </w:r>
            <w:r>
              <w:rPr>
                <w:rFonts w:hint="eastAsia" w:ascii="宋体" w:hAnsi="宋体" w:eastAsia="宋体" w:cs="宋体"/>
                <w:color w:val="auto"/>
                <w:spacing w:val="3"/>
                <w:sz w:val="24"/>
                <w:szCs w:val="24"/>
                <w:highlight w:val="none"/>
                <w:lang w:val="en-US" w:eastAsia="zh-CN"/>
              </w:rPr>
              <w:t>.加工质量：救生衣包布的缝边向里折进应≥10mm；救生衣的明缝线距边缘应≥1mm，且缝线应无跳针；救生衣机缝线密度每50mm长度应≥16针，缝线端头应打回结。</w:t>
            </w:r>
          </w:p>
          <w:p w14:paraId="73E13BC1">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pacing w:val="2"/>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2"/>
                <w:sz w:val="24"/>
                <w:szCs w:val="24"/>
                <w:highlight w:val="none"/>
              </w:rPr>
              <w:t>2.哨笛：救生衣上应配备声音响度(声压</w:t>
            </w:r>
            <w:r>
              <w:rPr>
                <w:rFonts w:hint="eastAsia" w:ascii="宋体" w:hAnsi="宋体" w:eastAsia="宋体" w:cs="宋体"/>
                <w:color w:val="auto"/>
                <w:spacing w:val="2"/>
                <w:sz w:val="24"/>
                <w:szCs w:val="24"/>
                <w:highlight w:val="none"/>
                <w:lang w:val="en-US" w:eastAsia="zh-CN"/>
              </w:rPr>
              <w:t>级）达到100dB的哨笛一只；哨笛的材料应是非金属，表面无毛刺，且不依赖任何移动物体能发出声响；哨笛在浸于淡水后应能立即在空气中发出声音；哨笛用细索系固在救生衣上，放置位置不应影响救生衣的性能，且穿戴者的双手应都能使用。</w:t>
            </w:r>
          </w:p>
          <w:p w14:paraId="01EE3BAB">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z w:val="24"/>
                <w:szCs w:val="24"/>
                <w:highlight w:val="none"/>
                <w:lang w:val="en-US"/>
              </w:rPr>
            </w:pPr>
            <w:r>
              <w:rPr>
                <w:rFonts w:hint="eastAsia" w:ascii="宋体" w:hAnsi="宋体" w:eastAsia="宋体" w:cs="宋体"/>
                <w:color w:val="auto"/>
                <w:spacing w:val="1"/>
                <w:sz w:val="24"/>
                <w:szCs w:val="24"/>
                <w:highlight w:val="none"/>
              </w:rPr>
              <w:t>3.浮力损失</w:t>
            </w:r>
            <w:r>
              <w:rPr>
                <w:rFonts w:hint="eastAsia" w:ascii="宋体" w:hAnsi="宋体" w:eastAsia="宋体" w:cs="宋体"/>
                <w:color w:val="auto"/>
                <w:spacing w:val="1"/>
                <w:sz w:val="24"/>
                <w:szCs w:val="24"/>
                <w:highlight w:val="none"/>
                <w:lang w:eastAsia="zh-CN"/>
              </w:rPr>
              <w:t>：救生衣浸入淡水中24h后的浮力应</w:t>
            </w:r>
            <w:r>
              <w:rPr>
                <w:rFonts w:hint="eastAsia" w:ascii="宋体" w:hAnsi="宋体" w:eastAsia="宋体" w:cs="宋体"/>
                <w:color w:val="auto"/>
                <w:spacing w:val="1"/>
                <w:sz w:val="24"/>
                <w:szCs w:val="24"/>
                <w:highlight w:val="none"/>
                <w:lang w:val="en-US" w:eastAsia="zh-CN"/>
              </w:rPr>
              <w:t>≥74N。</w:t>
            </w:r>
          </w:p>
          <w:p w14:paraId="65E9394A">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2"/>
                <w:sz w:val="24"/>
                <w:szCs w:val="24"/>
                <w:highlight w:val="none"/>
              </w:rPr>
              <w:t>4.耐燃烧：救生衣过火2s后，继续燃烧时间应不超过6s或无继续熔化。</w:t>
            </w:r>
          </w:p>
          <w:p w14:paraId="160CDFC2">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jc w:val="left"/>
              <w:textAlignment w:val="baseline"/>
              <w:rPr>
                <w:rFonts w:hint="eastAsia" w:ascii="宋体" w:hAnsi="宋体" w:eastAsia="宋体" w:cs="宋体"/>
                <w:color w:val="auto"/>
                <w:spacing w:val="-1"/>
                <w:position w:val="2"/>
                <w:sz w:val="24"/>
                <w:szCs w:val="24"/>
                <w:highlight w:val="none"/>
                <w:lang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1"/>
                <w:position w:val="2"/>
                <w:sz w:val="24"/>
                <w:szCs w:val="24"/>
                <w:highlight w:val="none"/>
                <w:lang w:val="en-US" w:eastAsia="zh-CN"/>
              </w:rPr>
              <w:t>5</w:t>
            </w:r>
            <w:r>
              <w:rPr>
                <w:rFonts w:hint="eastAsia" w:ascii="宋体" w:hAnsi="宋体" w:eastAsia="宋体" w:cs="宋体"/>
                <w:color w:val="auto"/>
                <w:spacing w:val="-1"/>
                <w:position w:val="2"/>
                <w:sz w:val="24"/>
                <w:szCs w:val="24"/>
                <w:highlight w:val="none"/>
              </w:rPr>
              <w:t>.</w:t>
            </w:r>
            <w:r>
              <w:rPr>
                <w:rFonts w:hint="eastAsia" w:ascii="宋体" w:hAnsi="宋体" w:eastAsia="宋体" w:cs="宋体"/>
                <w:color w:val="auto"/>
                <w:spacing w:val="-1"/>
                <w:position w:val="2"/>
                <w:sz w:val="24"/>
                <w:szCs w:val="24"/>
                <w:highlight w:val="none"/>
                <w:lang w:val="en-US" w:eastAsia="zh-CN"/>
              </w:rPr>
              <w:t>强度</w:t>
            </w:r>
            <w:r>
              <w:rPr>
                <w:rFonts w:hint="eastAsia" w:ascii="宋体" w:hAnsi="宋体" w:eastAsia="宋体" w:cs="宋体"/>
                <w:color w:val="auto"/>
                <w:spacing w:val="-1"/>
                <w:position w:val="2"/>
                <w:sz w:val="24"/>
                <w:szCs w:val="24"/>
                <w:highlight w:val="none"/>
              </w:rPr>
              <w:t>：救生衣衣身在1764N的作用力下持续30min应无损坏</w:t>
            </w:r>
            <w:r>
              <w:rPr>
                <w:rFonts w:hint="eastAsia" w:ascii="宋体" w:hAnsi="宋体" w:eastAsia="宋体" w:cs="宋体"/>
                <w:color w:val="auto"/>
                <w:spacing w:val="-1"/>
                <w:position w:val="2"/>
                <w:sz w:val="24"/>
                <w:szCs w:val="24"/>
                <w:highlight w:val="none"/>
                <w:lang w:eastAsia="zh-CN"/>
              </w:rPr>
              <w:t>；救生衣肩部在882N的作用力下持续30min应无损坏。</w:t>
            </w:r>
          </w:p>
        </w:tc>
        <w:tc>
          <w:tcPr>
            <w:tcW w:w="715" w:type="dxa"/>
            <w:noWrap w:val="0"/>
            <w:tcMar>
              <w:top w:w="-1" w:type="dxa"/>
              <w:left w:w="-1" w:type="dxa"/>
              <w:bottom w:w="-1" w:type="dxa"/>
              <w:right w:w="-1" w:type="dxa"/>
            </w:tcMar>
            <w:vAlign w:val="center"/>
          </w:tcPr>
          <w:p w14:paraId="09D8F37C">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400</w:t>
            </w:r>
          </w:p>
        </w:tc>
        <w:tc>
          <w:tcPr>
            <w:tcW w:w="811" w:type="dxa"/>
            <w:noWrap w:val="0"/>
            <w:tcMar>
              <w:top w:w="-1" w:type="dxa"/>
              <w:left w:w="-1" w:type="dxa"/>
              <w:bottom w:w="-1" w:type="dxa"/>
              <w:right w:w="-1" w:type="dxa"/>
            </w:tcMar>
            <w:vAlign w:val="center"/>
          </w:tcPr>
          <w:p w14:paraId="517BF8CF">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件</w:t>
            </w:r>
          </w:p>
        </w:tc>
      </w:tr>
      <w:tr w14:paraId="006293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527" w:type="dxa"/>
            <w:noWrap w:val="0"/>
            <w:tcMar>
              <w:top w:w="-1" w:type="dxa"/>
              <w:left w:w="-1" w:type="dxa"/>
              <w:bottom w:w="-1" w:type="dxa"/>
              <w:right w:w="-1" w:type="dxa"/>
            </w:tcMar>
            <w:vAlign w:val="center"/>
          </w:tcPr>
          <w:p w14:paraId="2E0925CE">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1032" w:type="dxa"/>
            <w:noWrap w:val="0"/>
            <w:tcMar>
              <w:top w:w="-1" w:type="dxa"/>
              <w:left w:w="-1" w:type="dxa"/>
              <w:bottom w:w="-1" w:type="dxa"/>
              <w:right w:w="-1" w:type="dxa"/>
            </w:tcMar>
            <w:vAlign w:val="center"/>
          </w:tcPr>
          <w:p w14:paraId="459DFECB">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发电机组</w:t>
            </w:r>
          </w:p>
        </w:tc>
        <w:tc>
          <w:tcPr>
            <w:tcW w:w="6378" w:type="dxa"/>
            <w:noWrap w:val="0"/>
            <w:tcMar>
              <w:top w:w="-1" w:type="dxa"/>
              <w:left w:w="-1" w:type="dxa"/>
              <w:bottom w:w="-1" w:type="dxa"/>
              <w:right w:w="-1" w:type="dxa"/>
            </w:tcMar>
            <w:vAlign w:val="center"/>
          </w:tcPr>
          <w:p w14:paraId="04EF6F48">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rPr>
            </w:pPr>
            <w:r>
              <w:rPr>
                <w:rFonts w:hint="eastAsia" w:ascii="宋体" w:hAnsi="宋体" w:eastAsia="宋体" w:cs="宋体"/>
                <w:color w:val="auto"/>
                <w:spacing w:val="2"/>
                <w:position w:val="2"/>
                <w:sz w:val="24"/>
                <w:szCs w:val="24"/>
                <w:highlight w:val="none"/>
              </w:rPr>
              <w:t>一、发电机组主要参数</w:t>
            </w:r>
          </w:p>
          <w:p w14:paraId="36654AC7">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rPr>
            </w:pPr>
            <w:r>
              <w:rPr>
                <w:rFonts w:hint="eastAsia" w:ascii="宋体" w:hAnsi="宋体" w:eastAsia="宋体" w:cs="宋体"/>
                <w:color w:val="auto"/>
                <w:spacing w:val="2"/>
                <w:position w:val="2"/>
                <w:sz w:val="24"/>
                <w:szCs w:val="24"/>
                <w:highlight w:val="none"/>
              </w:rPr>
              <w:t>1.机组功率：300kW</w:t>
            </w:r>
          </w:p>
          <w:p w14:paraId="495FB4F9">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rPr>
            </w:pPr>
            <w:r>
              <w:rPr>
                <w:rFonts w:hint="eastAsia" w:ascii="宋体" w:hAnsi="宋体" w:eastAsia="宋体" w:cs="宋体"/>
                <w:color w:val="auto"/>
                <w:spacing w:val="2"/>
                <w:position w:val="2"/>
                <w:sz w:val="24"/>
                <w:szCs w:val="24"/>
                <w:highlight w:val="none"/>
              </w:rPr>
              <w:t>2.额定电压：400/230V</w:t>
            </w:r>
          </w:p>
          <w:p w14:paraId="2A32F74B">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rPr>
            </w:pPr>
            <w:r>
              <w:rPr>
                <w:rFonts w:hint="eastAsia" w:ascii="宋体" w:hAnsi="宋体" w:eastAsia="宋体" w:cs="宋体"/>
                <w:color w:val="auto"/>
                <w:spacing w:val="2"/>
                <w:position w:val="2"/>
                <w:sz w:val="24"/>
                <w:szCs w:val="24"/>
                <w:highlight w:val="none"/>
              </w:rPr>
              <w:t>3.额定电流：540A</w:t>
            </w:r>
          </w:p>
          <w:p w14:paraId="017B407E">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rPr>
            </w:pPr>
            <w:r>
              <w:rPr>
                <w:rFonts w:hint="eastAsia" w:ascii="宋体" w:hAnsi="宋体" w:eastAsia="宋体" w:cs="宋体"/>
                <w:color w:val="auto"/>
                <w:spacing w:val="2"/>
                <w:position w:val="2"/>
                <w:sz w:val="24"/>
                <w:szCs w:val="24"/>
                <w:highlight w:val="none"/>
              </w:rPr>
              <w:t>4.额定频率：50Hz</w:t>
            </w:r>
          </w:p>
          <w:p w14:paraId="391A3AE0">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b/>
                <w:bCs/>
                <w:color w:val="auto"/>
                <w:spacing w:val="2"/>
                <w:position w:val="2"/>
                <w:sz w:val="24"/>
                <w:szCs w:val="24"/>
                <w:highlight w:val="none"/>
              </w:rPr>
            </w:pPr>
            <w:r>
              <w:rPr>
                <w:rFonts w:hint="eastAsia" w:ascii="宋体" w:hAnsi="宋体" w:eastAsia="宋体" w:cs="宋体"/>
                <w:b/>
                <w:bCs/>
                <w:color w:val="auto"/>
                <w:spacing w:val="5"/>
                <w:sz w:val="24"/>
                <w:szCs w:val="24"/>
                <w:highlight w:val="none"/>
              </w:rPr>
              <w:t>★</w:t>
            </w:r>
            <w:r>
              <w:rPr>
                <w:rFonts w:hint="eastAsia" w:ascii="宋体" w:hAnsi="宋体" w:eastAsia="宋体" w:cs="宋体"/>
                <w:b/>
                <w:bCs/>
                <w:color w:val="auto"/>
                <w:spacing w:val="2"/>
                <w:position w:val="2"/>
                <w:sz w:val="24"/>
                <w:szCs w:val="24"/>
                <w:highlight w:val="none"/>
              </w:rPr>
              <w:t>5.启动性能：机组在常温(非增压机组不低于5℃、增压机组不低于10℃)下经3次启动应能成功，两次启动的时间间隔为20s,启动成功率应大于99%。启动成功后应能在1min内带额定负载运行。</w:t>
            </w:r>
          </w:p>
          <w:p w14:paraId="2C603970">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b/>
                <w:bCs/>
                <w:color w:val="auto"/>
                <w:spacing w:val="2"/>
                <w:position w:val="2"/>
                <w:sz w:val="24"/>
                <w:szCs w:val="24"/>
                <w:highlight w:val="none"/>
              </w:rPr>
            </w:pPr>
            <w:r>
              <w:rPr>
                <w:rFonts w:hint="eastAsia" w:ascii="宋体" w:hAnsi="宋体" w:eastAsia="宋体" w:cs="宋体"/>
                <w:b/>
                <w:bCs/>
                <w:color w:val="auto"/>
                <w:spacing w:val="5"/>
                <w:sz w:val="24"/>
                <w:szCs w:val="24"/>
                <w:highlight w:val="none"/>
              </w:rPr>
              <w:t>★</w:t>
            </w:r>
            <w:r>
              <w:rPr>
                <w:rFonts w:hint="eastAsia" w:ascii="宋体" w:hAnsi="宋体" w:eastAsia="宋体" w:cs="宋体"/>
                <w:b/>
                <w:bCs/>
                <w:color w:val="auto"/>
                <w:spacing w:val="2"/>
                <w:position w:val="2"/>
                <w:sz w:val="24"/>
                <w:szCs w:val="24"/>
                <w:highlight w:val="none"/>
              </w:rPr>
              <w:t>6.电压整定范围：在输出功率因数、频率为额定值时，机组从空载到额定负载，发电机输出电压的可调节范围应不小于±5%额定电压。</w:t>
            </w:r>
          </w:p>
          <w:p w14:paraId="6B5F03E4">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b/>
                <w:bCs/>
                <w:color w:val="auto"/>
                <w:spacing w:val="2"/>
                <w:position w:val="2"/>
                <w:sz w:val="24"/>
                <w:szCs w:val="24"/>
                <w:highlight w:val="none"/>
              </w:rPr>
            </w:pPr>
            <w:r>
              <w:rPr>
                <w:rFonts w:hint="eastAsia" w:ascii="宋体" w:hAnsi="宋体" w:eastAsia="宋体" w:cs="宋体"/>
                <w:b/>
                <w:bCs/>
                <w:color w:val="auto"/>
                <w:spacing w:val="5"/>
                <w:sz w:val="24"/>
                <w:szCs w:val="24"/>
                <w:highlight w:val="none"/>
              </w:rPr>
              <w:t>★</w:t>
            </w:r>
            <w:r>
              <w:rPr>
                <w:rFonts w:hint="eastAsia" w:ascii="宋体" w:hAnsi="宋体" w:eastAsia="宋体" w:cs="宋体"/>
                <w:b/>
                <w:bCs/>
                <w:color w:val="auto"/>
                <w:spacing w:val="2"/>
                <w:position w:val="2"/>
                <w:sz w:val="24"/>
                <w:szCs w:val="24"/>
                <w:highlight w:val="none"/>
              </w:rPr>
              <w:t>7.稳态电压偏差：从空载逐渐加载至额定负载的25%、50%、75%、100%,再将负载按此等级由100%逐渐减至空载，各级负载下的频率和功率因数均为额定 值，稳态电压偏差应≤±1%。</w:t>
            </w:r>
          </w:p>
          <w:p w14:paraId="48B6F1A1">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b/>
                <w:bCs/>
                <w:color w:val="auto"/>
                <w:spacing w:val="2"/>
                <w:position w:val="2"/>
                <w:sz w:val="24"/>
                <w:szCs w:val="24"/>
                <w:highlight w:val="none"/>
              </w:rPr>
            </w:pPr>
            <w:r>
              <w:rPr>
                <w:rFonts w:hint="eastAsia" w:ascii="宋体" w:hAnsi="宋体" w:eastAsia="宋体" w:cs="宋体"/>
                <w:b/>
                <w:bCs/>
                <w:color w:val="auto"/>
                <w:spacing w:val="5"/>
                <w:sz w:val="24"/>
                <w:szCs w:val="24"/>
                <w:highlight w:val="none"/>
              </w:rPr>
              <w:t>★</w:t>
            </w:r>
            <w:r>
              <w:rPr>
                <w:rFonts w:hint="eastAsia" w:ascii="宋体" w:hAnsi="宋体" w:eastAsia="宋体" w:cs="宋体"/>
                <w:b/>
                <w:bCs/>
                <w:color w:val="auto"/>
                <w:spacing w:val="2"/>
                <w:position w:val="2"/>
                <w:sz w:val="24"/>
                <w:szCs w:val="24"/>
                <w:highlight w:val="none"/>
              </w:rPr>
              <w:t>8.瞬态电压偏差和电压恢复时间：由额定负载突减至空载，重复进行3次，瞬态电压偏差应≤+20%；由空载突加至规定负载，重复进行3次，瞬态电压偏差应≤-15%；由额定负载突减至空载，重复进行3次，电压恢复时间应≤4s；由空载突加至规定负载，重复进行3次，电压恢复时间应≤4s。</w:t>
            </w:r>
          </w:p>
          <w:p w14:paraId="03AE3CAE">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rPr>
            </w:pPr>
            <w:r>
              <w:rPr>
                <w:rFonts w:hint="eastAsia" w:ascii="宋体" w:hAnsi="宋体" w:eastAsia="宋体" w:cs="宋体"/>
                <w:color w:val="auto"/>
                <w:spacing w:val="2"/>
                <w:position w:val="2"/>
                <w:sz w:val="24"/>
                <w:szCs w:val="24"/>
                <w:highlight w:val="none"/>
                <w:lang w:val="en-US" w:eastAsia="zh-CN"/>
              </w:rPr>
              <w:t>9.电压不平衡度：</w:t>
            </w:r>
            <w:r>
              <w:rPr>
                <w:rFonts w:hint="eastAsia" w:ascii="宋体" w:hAnsi="宋体" w:eastAsia="宋体" w:cs="宋体"/>
                <w:color w:val="auto"/>
                <w:spacing w:val="2"/>
                <w:position w:val="2"/>
                <w:sz w:val="24"/>
                <w:szCs w:val="24"/>
                <w:highlight w:val="none"/>
              </w:rPr>
              <w:t>输出电压和频率为额定值，在空载状态下，电压不平衡度应≤1%。</w:t>
            </w:r>
          </w:p>
          <w:p w14:paraId="4186355E">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2"/>
                <w:position w:val="2"/>
                <w:sz w:val="24"/>
                <w:szCs w:val="24"/>
                <w:highlight w:val="none"/>
                <w:lang w:val="en-US" w:eastAsia="zh-CN"/>
              </w:rPr>
              <w:t>10.频率降：在额定负载条件下稳定运行，频率接近额定值，再将负载由100%减至空载到稳定运行，频率降应≤2%。</w:t>
            </w:r>
          </w:p>
          <w:p w14:paraId="64F22169">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5"/>
                <w:sz w:val="24"/>
                <w:szCs w:val="24"/>
                <w:highlight w:val="none"/>
              </w:rPr>
              <w:t>★</w:t>
            </w:r>
            <w:r>
              <w:rPr>
                <w:rFonts w:hint="eastAsia" w:ascii="宋体" w:hAnsi="宋体" w:eastAsia="宋体" w:cs="宋体"/>
                <w:b/>
                <w:bCs/>
                <w:color w:val="auto"/>
                <w:spacing w:val="2"/>
                <w:position w:val="2"/>
                <w:sz w:val="24"/>
                <w:szCs w:val="24"/>
                <w:highlight w:val="none"/>
                <w:lang w:val="en-US" w:eastAsia="zh-CN"/>
              </w:rPr>
              <w:t>11.稳态频率带：从空载逐渐加载至额定负载的 25%、50%、75%、100%,再将负载按 此等级由100%逐渐减至空载，各级负载下的频率和功率因数均为额定值，稳态频率带应≤0.5%。</w:t>
            </w:r>
          </w:p>
          <w:p w14:paraId="7B6BD6AD">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2"/>
                <w:position w:val="2"/>
                <w:sz w:val="24"/>
                <w:szCs w:val="24"/>
                <w:highlight w:val="none"/>
                <w:lang w:val="en-US" w:eastAsia="zh-CN"/>
              </w:rPr>
              <w:t>12.冷热态电压变化：在输出电压、频率、功率为额定值时，从冷态到热态的电压变化应不超过±2%额定电压。</w:t>
            </w:r>
          </w:p>
          <w:p w14:paraId="3074E852">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2"/>
                <w:position w:val="2"/>
                <w:sz w:val="24"/>
                <w:szCs w:val="24"/>
                <w:highlight w:val="none"/>
                <w:lang w:val="en-US" w:eastAsia="zh-CN"/>
              </w:rPr>
              <w:t>13.线电压波形正弦性畸变率：在输出电压、频率为额定值，输出空载时，线电压波形正弦性畸变率不大于5%。</w:t>
            </w:r>
          </w:p>
          <w:p w14:paraId="49FE68B2">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2"/>
                <w:position w:val="2"/>
                <w:sz w:val="24"/>
                <w:szCs w:val="24"/>
                <w:highlight w:val="none"/>
                <w:lang w:val="en-US" w:eastAsia="zh-CN"/>
              </w:rPr>
              <w:t>14.噪声dB(A):≤120。</w:t>
            </w:r>
          </w:p>
          <w:p w14:paraId="43B7AEB1">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2"/>
                <w:position w:val="2"/>
                <w:sz w:val="24"/>
                <w:szCs w:val="24"/>
                <w:highlight w:val="none"/>
                <w:lang w:val="en-US" w:eastAsia="zh-CN"/>
              </w:rPr>
              <w:t>15.燃油消耗率g/kW·h：≤260。</w:t>
            </w:r>
          </w:p>
          <w:p w14:paraId="2553C896">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2"/>
                <w:position w:val="2"/>
                <w:sz w:val="24"/>
                <w:szCs w:val="24"/>
                <w:highlight w:val="none"/>
                <w:lang w:val="en-US" w:eastAsia="zh-CN"/>
              </w:rPr>
              <w:t>16.机油消耗率g/kW·h：≤1.5。</w:t>
            </w:r>
          </w:p>
          <w:p w14:paraId="0018669C">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2"/>
                <w:position w:val="2"/>
                <w:sz w:val="24"/>
                <w:szCs w:val="24"/>
                <w:highlight w:val="none"/>
                <w:lang w:val="en-US" w:eastAsia="zh-CN"/>
              </w:rPr>
              <w:t>17.密封性：机组应无漏油、漏水、漏气现象。</w:t>
            </w:r>
          </w:p>
          <w:p w14:paraId="50DDD8AA">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2"/>
                <w:position w:val="2"/>
                <w:sz w:val="24"/>
                <w:szCs w:val="24"/>
                <w:highlight w:val="none"/>
                <w:lang w:val="en-US" w:eastAsia="zh-CN"/>
              </w:rPr>
              <w:t>18.接地：机组应有良好的接地端子并有明显的标志。</w:t>
            </w:r>
          </w:p>
          <w:p w14:paraId="0B003D1B">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2"/>
                <w:position w:val="2"/>
                <w:sz w:val="24"/>
                <w:szCs w:val="24"/>
                <w:highlight w:val="none"/>
                <w:lang w:val="en-US" w:eastAsia="zh-CN"/>
              </w:rPr>
              <w:t>19.相序：对于采用输出插头插座的三相机组，其相序应面向插座按顺时针方向排列；对于采用接线端子的三相机组，其相序应面向接线端子自左到右或从上到下排列。</w:t>
            </w:r>
          </w:p>
          <w:p w14:paraId="60E684B4">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5"/>
                <w:sz w:val="24"/>
                <w:szCs w:val="24"/>
                <w:highlight w:val="none"/>
              </w:rPr>
              <w:t>★</w:t>
            </w:r>
            <w:r>
              <w:rPr>
                <w:rFonts w:hint="eastAsia" w:ascii="宋体" w:hAnsi="宋体" w:eastAsia="宋体" w:cs="宋体"/>
                <w:b/>
                <w:bCs/>
                <w:color w:val="auto"/>
                <w:spacing w:val="2"/>
                <w:position w:val="2"/>
                <w:sz w:val="24"/>
                <w:szCs w:val="24"/>
                <w:highlight w:val="none"/>
                <w:lang w:val="en-US" w:eastAsia="zh-CN"/>
              </w:rPr>
              <w:t>20.自动保护功能：机组应有机油压力低、过欠电压、超速、水温高(水冷机组)、缸温高(风冷机组)、皮带断裂(风冷机组)自动保护措施，出现上述故障时自动切断油路并给出声光告警。</w:t>
            </w:r>
          </w:p>
          <w:p w14:paraId="2F191E38">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5"/>
                <w:sz w:val="24"/>
                <w:szCs w:val="24"/>
                <w:highlight w:val="none"/>
              </w:rPr>
              <w:t>★</w:t>
            </w:r>
            <w:r>
              <w:rPr>
                <w:rFonts w:hint="eastAsia" w:ascii="宋体" w:hAnsi="宋体" w:eastAsia="宋体" w:cs="宋体"/>
                <w:b/>
                <w:bCs/>
                <w:color w:val="auto"/>
                <w:spacing w:val="2"/>
                <w:position w:val="2"/>
                <w:sz w:val="24"/>
                <w:szCs w:val="24"/>
                <w:highlight w:val="none"/>
                <w:lang w:val="en-US" w:eastAsia="zh-CN"/>
              </w:rPr>
              <w:t>21.过载保护功能：机组应具有过载保护措施，保护装置应能迅速可靠动作，且无损坏。</w:t>
            </w:r>
          </w:p>
          <w:p w14:paraId="1DC1F5FA">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5"/>
                <w:sz w:val="24"/>
                <w:szCs w:val="24"/>
                <w:highlight w:val="none"/>
              </w:rPr>
              <w:t>★</w:t>
            </w:r>
            <w:r>
              <w:rPr>
                <w:rFonts w:hint="eastAsia" w:ascii="宋体" w:hAnsi="宋体" w:eastAsia="宋体" w:cs="宋体"/>
                <w:b/>
                <w:bCs/>
                <w:color w:val="auto"/>
                <w:spacing w:val="2"/>
                <w:position w:val="2"/>
                <w:sz w:val="24"/>
                <w:szCs w:val="24"/>
                <w:highlight w:val="none"/>
                <w:lang w:val="en-US" w:eastAsia="zh-CN"/>
              </w:rPr>
              <w:t>22.短路保护功能：机组应具有短路保护措施，保护装置应能迅速可靠动作，且无损坏。</w:t>
            </w:r>
          </w:p>
          <w:p w14:paraId="54517794">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2"/>
                <w:position w:val="2"/>
                <w:sz w:val="24"/>
                <w:szCs w:val="24"/>
                <w:highlight w:val="none"/>
                <w:lang w:val="en-US" w:eastAsia="zh-CN"/>
              </w:rPr>
              <w:t>23.外观质量：机组的焊接应牢固，焊缝应均匀、无裂纹；机组的控制屏表面应平整、布线合理，接触良好，层次分明，整齐美观；机组涂漆部分的漆膜应均匀，无明显裂纹、脱落、流痕、气泡、划伤等现象；机组电镀件的镀层应光滑，无漏镀斑点，锈蚀等现象；机组的紧固件应无松动。</w:t>
            </w:r>
          </w:p>
          <w:p w14:paraId="3397BC80">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2"/>
                <w:position w:val="2"/>
                <w:sz w:val="24"/>
                <w:szCs w:val="24"/>
                <w:highlight w:val="none"/>
                <w:lang w:val="en-US" w:eastAsia="zh-CN"/>
              </w:rPr>
              <w:t>24.自动补给功能：机组的燃油箱应具备根据液位控制的自动补油功能，并具备防溢流措施。</w:t>
            </w:r>
          </w:p>
          <w:p w14:paraId="3C2FA14E">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2"/>
                <w:position w:val="2"/>
                <w:sz w:val="24"/>
                <w:szCs w:val="24"/>
                <w:highlight w:val="none"/>
                <w:lang w:val="en-US" w:eastAsia="zh-CN"/>
              </w:rPr>
              <w:t>25.机组容性负载能力：机组应能够带功率因数为0.95的容性负载。</w:t>
            </w:r>
          </w:p>
          <w:p w14:paraId="5E94BD7C">
            <w:pPr>
              <w:pStyle w:val="7"/>
              <w:keepNext w:val="0"/>
              <w:keepLines w:val="0"/>
              <w:pageBreakBefore w:val="0"/>
              <w:widowControl/>
              <w:numPr>
                <w:ilvl w:val="0"/>
                <w:numId w:val="1"/>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jc w:val="left"/>
              <w:textAlignment w:val="baseline"/>
              <w:rPr>
                <w:rFonts w:hint="eastAsia" w:ascii="宋体" w:hAnsi="宋体" w:eastAsia="宋体" w:cs="宋体"/>
                <w:color w:val="auto"/>
                <w:spacing w:val="2"/>
                <w:position w:val="2"/>
                <w:sz w:val="24"/>
                <w:szCs w:val="24"/>
                <w:highlight w:val="none"/>
              </w:rPr>
            </w:pPr>
            <w:r>
              <w:rPr>
                <w:rFonts w:hint="eastAsia" w:ascii="宋体" w:hAnsi="宋体" w:eastAsia="宋体" w:cs="宋体"/>
                <w:color w:val="auto"/>
                <w:spacing w:val="2"/>
                <w:position w:val="2"/>
                <w:sz w:val="24"/>
                <w:szCs w:val="24"/>
                <w:highlight w:val="none"/>
              </w:rPr>
              <w:t>随机附件：消声器、波纹管、电瓶及连接线、电瓶开关、减震垫、合格证、资料各1套。</w:t>
            </w:r>
          </w:p>
        </w:tc>
        <w:tc>
          <w:tcPr>
            <w:tcW w:w="715" w:type="dxa"/>
            <w:noWrap w:val="0"/>
            <w:tcMar>
              <w:top w:w="-1" w:type="dxa"/>
              <w:left w:w="-1" w:type="dxa"/>
              <w:bottom w:w="-1" w:type="dxa"/>
              <w:right w:w="-1" w:type="dxa"/>
            </w:tcMar>
            <w:vAlign w:val="center"/>
          </w:tcPr>
          <w:p w14:paraId="7BE8EE92">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right="0" w:right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w:t>
            </w:r>
          </w:p>
        </w:tc>
        <w:tc>
          <w:tcPr>
            <w:tcW w:w="811" w:type="dxa"/>
            <w:noWrap w:val="0"/>
            <w:tcMar>
              <w:top w:w="-1" w:type="dxa"/>
              <w:left w:w="-1" w:type="dxa"/>
              <w:bottom w:w="-1" w:type="dxa"/>
              <w:right w:w="-1" w:type="dxa"/>
            </w:tcMar>
            <w:vAlign w:val="center"/>
          </w:tcPr>
          <w:p w14:paraId="726CFC10">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right="0" w:right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台</w:t>
            </w:r>
          </w:p>
        </w:tc>
      </w:tr>
      <w:tr w14:paraId="660089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527" w:type="dxa"/>
            <w:noWrap w:val="0"/>
            <w:tcMar>
              <w:top w:w="-1" w:type="dxa"/>
              <w:left w:w="-1" w:type="dxa"/>
              <w:bottom w:w="-1" w:type="dxa"/>
              <w:right w:w="-1" w:type="dxa"/>
            </w:tcMar>
            <w:vAlign w:val="center"/>
          </w:tcPr>
          <w:p w14:paraId="410A3022">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1032" w:type="dxa"/>
            <w:noWrap w:val="0"/>
            <w:tcMar>
              <w:top w:w="-1" w:type="dxa"/>
              <w:left w:w="-1" w:type="dxa"/>
              <w:bottom w:w="-1" w:type="dxa"/>
              <w:right w:w="-1" w:type="dxa"/>
            </w:tcMar>
            <w:vAlign w:val="center"/>
          </w:tcPr>
          <w:p w14:paraId="5EB37569">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z w:val="24"/>
                <w:szCs w:val="24"/>
                <w:highlight w:val="none"/>
              </w:rPr>
              <w:t>工作灯</w:t>
            </w:r>
          </w:p>
        </w:tc>
        <w:tc>
          <w:tcPr>
            <w:tcW w:w="6378" w:type="dxa"/>
            <w:noWrap w:val="0"/>
            <w:tcMar>
              <w:top w:w="-1" w:type="dxa"/>
              <w:left w:w="-1" w:type="dxa"/>
              <w:bottom w:w="-1" w:type="dxa"/>
              <w:right w:w="-1" w:type="dxa"/>
            </w:tcMar>
            <w:vAlign w:val="top"/>
          </w:tcPr>
          <w:p w14:paraId="3841E3D1">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★1.</w:t>
            </w:r>
            <w:r>
              <w:rPr>
                <w:rFonts w:hint="eastAsia" w:ascii="宋体" w:hAnsi="宋体" w:eastAsia="宋体" w:cs="宋体"/>
                <w:b/>
                <w:bCs/>
                <w:color w:val="auto"/>
                <w:spacing w:val="1"/>
                <w:sz w:val="24"/>
                <w:szCs w:val="24"/>
                <w:highlight w:val="none"/>
                <w:lang w:val="en-US" w:eastAsia="zh-CN"/>
              </w:rPr>
              <w:t>照明功能：具有工作光、强光、弱光、SOS、爆闪5种光设计，按动按钮可进行自由转换。</w:t>
            </w:r>
          </w:p>
          <w:p w14:paraId="41AF45FF">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2.</w:t>
            </w:r>
            <w:r>
              <w:rPr>
                <w:rFonts w:hint="eastAsia" w:ascii="宋体" w:hAnsi="宋体" w:eastAsia="宋体" w:cs="宋体"/>
                <w:color w:val="auto"/>
                <w:spacing w:val="1"/>
                <w:sz w:val="24"/>
                <w:szCs w:val="24"/>
                <w:highlight w:val="none"/>
                <w:lang w:val="en-US" w:eastAsia="zh-CN"/>
              </w:rPr>
              <w:t>额定电压：≥DC3.7V。</w:t>
            </w:r>
          </w:p>
          <w:p w14:paraId="70C69FC1">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3.</w:t>
            </w:r>
            <w:r>
              <w:rPr>
                <w:rFonts w:hint="eastAsia" w:ascii="宋体" w:hAnsi="宋体" w:eastAsia="宋体" w:cs="宋体"/>
                <w:color w:val="auto"/>
                <w:spacing w:val="1"/>
                <w:sz w:val="24"/>
                <w:szCs w:val="24"/>
                <w:highlight w:val="none"/>
                <w:lang w:val="en-US" w:eastAsia="zh-CN"/>
              </w:rPr>
              <w:t>锂电池额定容量：≥2200mAh。</w:t>
            </w:r>
          </w:p>
          <w:p w14:paraId="1D885AFB">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4.</w:t>
            </w:r>
            <w:r>
              <w:rPr>
                <w:rFonts w:hint="eastAsia" w:ascii="宋体" w:hAnsi="宋体" w:eastAsia="宋体" w:cs="宋体"/>
                <w:color w:val="auto"/>
                <w:spacing w:val="1"/>
                <w:sz w:val="24"/>
                <w:szCs w:val="24"/>
                <w:highlight w:val="none"/>
                <w:lang w:val="en-US" w:eastAsia="zh-CN"/>
              </w:rPr>
              <w:t>光源类型：采用LED光源。</w:t>
            </w:r>
          </w:p>
          <w:p w14:paraId="1F72CA93">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5.</w:t>
            </w:r>
            <w:r>
              <w:rPr>
                <w:rFonts w:hint="eastAsia" w:ascii="宋体" w:hAnsi="宋体" w:eastAsia="宋体" w:cs="宋体"/>
                <w:color w:val="auto"/>
                <w:spacing w:val="1"/>
                <w:sz w:val="24"/>
                <w:szCs w:val="24"/>
                <w:highlight w:val="none"/>
                <w:lang w:val="en-US" w:eastAsia="zh-CN"/>
              </w:rPr>
              <w:t>额定功率：≥3W。</w:t>
            </w:r>
          </w:p>
          <w:p w14:paraId="30F5377E">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★6</w:t>
            </w:r>
            <w:r>
              <w:rPr>
                <w:rFonts w:hint="eastAsia" w:ascii="宋体" w:hAnsi="宋体" w:eastAsia="宋体" w:cs="宋体"/>
                <w:b/>
                <w:bCs/>
                <w:snapToGrid w:val="0"/>
                <w:color w:val="auto"/>
                <w:spacing w:val="1"/>
                <w:kern w:val="0"/>
                <w:sz w:val="24"/>
                <w:szCs w:val="24"/>
                <w:highlight w:val="none"/>
                <w:lang w:val="en-US" w:eastAsia="zh-CN" w:bidi="ar-SA"/>
              </w:rPr>
              <w:t>.</w:t>
            </w:r>
            <w:r>
              <w:rPr>
                <w:rFonts w:hint="eastAsia" w:ascii="宋体" w:hAnsi="宋体" w:eastAsia="宋体" w:cs="宋体"/>
                <w:b/>
                <w:bCs/>
                <w:color w:val="auto"/>
                <w:spacing w:val="1"/>
                <w:sz w:val="24"/>
                <w:szCs w:val="24"/>
                <w:highlight w:val="none"/>
                <w:lang w:val="en-US" w:eastAsia="zh-CN"/>
              </w:rPr>
              <w:t>光源(LED)平均使用寿命：≥100000h。</w:t>
            </w:r>
          </w:p>
          <w:p w14:paraId="4B314DCE">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7.</w:t>
            </w:r>
            <w:r>
              <w:rPr>
                <w:rFonts w:hint="eastAsia" w:ascii="宋体" w:hAnsi="宋体" w:eastAsia="宋体" w:cs="宋体"/>
                <w:color w:val="auto"/>
                <w:spacing w:val="1"/>
                <w:sz w:val="24"/>
                <w:szCs w:val="24"/>
                <w:highlight w:val="none"/>
                <w:lang w:val="en-US" w:eastAsia="zh-CN"/>
              </w:rPr>
              <w:t>连续放电时间：强光≥5h；工作光≥10h；闪光≥20h。</w:t>
            </w:r>
          </w:p>
          <w:p w14:paraId="39964245">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8.</w:t>
            </w:r>
            <w:r>
              <w:rPr>
                <w:rFonts w:hint="eastAsia" w:ascii="宋体" w:hAnsi="宋体" w:eastAsia="宋体" w:cs="宋体"/>
                <w:color w:val="auto"/>
                <w:spacing w:val="1"/>
                <w:sz w:val="24"/>
                <w:szCs w:val="24"/>
                <w:highlight w:val="none"/>
                <w:lang w:val="en-US" w:eastAsia="zh-CN"/>
              </w:rPr>
              <w:t>充电时间：≤5h。</w:t>
            </w:r>
          </w:p>
          <w:p w14:paraId="244C5492">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9.</w:t>
            </w:r>
            <w:r>
              <w:rPr>
                <w:rFonts w:hint="eastAsia" w:ascii="宋体" w:hAnsi="宋体" w:eastAsia="宋体" w:cs="宋体"/>
                <w:color w:val="auto"/>
                <w:spacing w:val="1"/>
                <w:sz w:val="24"/>
                <w:szCs w:val="24"/>
                <w:highlight w:val="none"/>
                <w:lang w:val="en-US" w:eastAsia="zh-CN"/>
              </w:rPr>
              <w:t>外壳防护等级：≥IP66。</w:t>
            </w:r>
          </w:p>
          <w:p w14:paraId="554A89CB">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color w:val="auto"/>
                <w:spacing w:val="6"/>
                <w:sz w:val="24"/>
                <w:szCs w:val="24"/>
                <w:highlight w:val="none"/>
                <w:lang w:val="en-US" w:eastAsia="zh-CN"/>
              </w:rPr>
              <w:t>10</w:t>
            </w:r>
            <w:r>
              <w:rPr>
                <w:rFonts w:hint="eastAsia" w:ascii="宋体" w:hAnsi="宋体" w:eastAsia="宋体" w:cs="宋体"/>
                <w:snapToGrid w:val="0"/>
                <w:color w:val="auto"/>
                <w:spacing w:val="1"/>
                <w:kern w:val="0"/>
                <w:sz w:val="24"/>
                <w:szCs w:val="24"/>
                <w:highlight w:val="none"/>
                <w:lang w:val="en-US" w:eastAsia="zh-CN" w:bidi="ar-SA"/>
              </w:rPr>
              <w:t>.</w:t>
            </w:r>
            <w:r>
              <w:rPr>
                <w:rFonts w:hint="eastAsia" w:ascii="宋体" w:hAnsi="宋体" w:eastAsia="宋体" w:cs="宋体"/>
                <w:color w:val="auto"/>
                <w:spacing w:val="1"/>
                <w:sz w:val="24"/>
                <w:szCs w:val="24"/>
                <w:highlight w:val="none"/>
                <w:lang w:val="en-US" w:eastAsia="zh-CN"/>
              </w:rPr>
              <w:t>光通量：≥360 lm。</w:t>
            </w:r>
          </w:p>
          <w:p w14:paraId="64F54855">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11.</w:t>
            </w:r>
            <w:r>
              <w:rPr>
                <w:rFonts w:hint="eastAsia" w:ascii="宋体" w:hAnsi="宋体" w:eastAsia="宋体" w:cs="宋体"/>
                <w:color w:val="auto"/>
                <w:spacing w:val="1"/>
                <w:sz w:val="24"/>
                <w:szCs w:val="24"/>
                <w:highlight w:val="none"/>
                <w:lang w:val="en-US" w:eastAsia="zh-CN"/>
              </w:rPr>
              <w:t>最大射程：≥200m。</w:t>
            </w:r>
          </w:p>
          <w:p w14:paraId="07A6AE02">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snapToGrid w:val="0"/>
                <w:color w:val="auto"/>
                <w:spacing w:val="1"/>
                <w:kern w:val="0"/>
                <w:sz w:val="24"/>
                <w:szCs w:val="24"/>
                <w:highlight w:val="none"/>
                <w:lang w:val="en-US" w:eastAsia="zh-CN" w:bidi="ar-SA"/>
              </w:rPr>
              <w:t>12.</w:t>
            </w:r>
            <w:r>
              <w:rPr>
                <w:rFonts w:hint="eastAsia" w:ascii="宋体" w:hAnsi="宋体" w:eastAsia="宋体" w:cs="宋体"/>
                <w:color w:val="auto"/>
                <w:spacing w:val="1"/>
                <w:sz w:val="24"/>
                <w:szCs w:val="24"/>
                <w:highlight w:val="none"/>
                <w:lang w:val="en-US" w:eastAsia="zh-CN"/>
              </w:rPr>
              <w:t>色温：≥6000K。</w:t>
            </w:r>
          </w:p>
          <w:p w14:paraId="50B315C4">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snapToGrid w:val="0"/>
                <w:color w:val="auto"/>
                <w:spacing w:val="1"/>
                <w:kern w:val="0"/>
                <w:sz w:val="24"/>
                <w:szCs w:val="24"/>
                <w:highlight w:val="none"/>
                <w:lang w:val="en-US" w:eastAsia="zh-CN" w:bidi="ar-SA"/>
              </w:rPr>
              <w:t>13.</w:t>
            </w:r>
            <w:r>
              <w:rPr>
                <w:rFonts w:hint="eastAsia" w:ascii="宋体" w:hAnsi="宋体" w:eastAsia="宋体" w:cs="宋体"/>
                <w:color w:val="auto"/>
                <w:spacing w:val="1"/>
                <w:sz w:val="24"/>
                <w:szCs w:val="24"/>
                <w:highlight w:val="none"/>
                <w:lang w:val="en-US" w:eastAsia="zh-CN"/>
              </w:rPr>
              <w:t>平均工作电流：≥600mA。</w:t>
            </w:r>
          </w:p>
          <w:p w14:paraId="7EB942A4">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color w:val="auto"/>
                <w:spacing w:val="6"/>
                <w:sz w:val="24"/>
                <w:szCs w:val="24"/>
                <w:highlight w:val="none"/>
              </w:rPr>
              <w:t>▲</w:t>
            </w:r>
            <w:r>
              <w:rPr>
                <w:rFonts w:hint="eastAsia" w:ascii="宋体" w:hAnsi="宋体" w:eastAsia="宋体" w:cs="宋体"/>
                <w:snapToGrid w:val="0"/>
                <w:color w:val="auto"/>
                <w:spacing w:val="1"/>
                <w:kern w:val="0"/>
                <w:sz w:val="24"/>
                <w:szCs w:val="24"/>
                <w:highlight w:val="none"/>
                <w:lang w:val="en-US" w:eastAsia="zh-CN" w:bidi="ar-SA"/>
              </w:rPr>
              <w:t>14.</w:t>
            </w:r>
            <w:r>
              <w:rPr>
                <w:rFonts w:hint="eastAsia" w:ascii="宋体" w:hAnsi="宋体" w:eastAsia="宋体" w:cs="宋体"/>
                <w:color w:val="auto"/>
                <w:spacing w:val="1"/>
                <w:sz w:val="24"/>
                <w:szCs w:val="24"/>
                <w:highlight w:val="none"/>
                <w:lang w:val="en-US" w:eastAsia="zh-CN"/>
              </w:rPr>
              <w:t>重量（不含电池）≤0.12kg。</w:t>
            </w:r>
          </w:p>
          <w:p w14:paraId="4DABE52F">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2" w:firstLineChars="0"/>
              <w:textAlignment w:val="baseline"/>
              <w:rPr>
                <w:rFonts w:hint="eastAsia" w:ascii="宋体" w:hAnsi="宋体" w:eastAsia="宋体" w:cs="宋体"/>
                <w:b/>
                <w:bCs/>
                <w:color w:val="auto"/>
                <w:spacing w:val="1"/>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b/>
                <w:bCs/>
                <w:snapToGrid w:val="0"/>
                <w:color w:val="auto"/>
                <w:spacing w:val="1"/>
                <w:kern w:val="0"/>
                <w:sz w:val="24"/>
                <w:szCs w:val="24"/>
                <w:highlight w:val="none"/>
                <w:lang w:val="en-US" w:eastAsia="zh-CN" w:bidi="ar-SA"/>
              </w:rPr>
              <w:t>15.</w:t>
            </w:r>
            <w:r>
              <w:rPr>
                <w:rFonts w:hint="eastAsia" w:ascii="宋体" w:hAnsi="宋体" w:eastAsia="宋体" w:cs="宋体"/>
                <w:b/>
                <w:bCs/>
                <w:color w:val="auto"/>
                <w:spacing w:val="1"/>
                <w:sz w:val="24"/>
                <w:szCs w:val="24"/>
                <w:highlight w:val="none"/>
                <w:lang w:val="en-US" w:eastAsia="zh-CN"/>
              </w:rPr>
              <w:t>电量显示：人性化的电量指示(30%电量为红色，70%为绿色)和低电压显示功能设计，可随时查询电池电量，当电量不足时，灯具会自动提示进行充电。</w:t>
            </w:r>
          </w:p>
          <w:p w14:paraId="2AE80666">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0" w:firstLineChars="0"/>
              <w:textAlignment w:val="baseline"/>
              <w:rPr>
                <w:rFonts w:hint="eastAsia" w:ascii="宋体" w:hAnsi="宋体" w:eastAsia="宋体" w:cs="宋体"/>
                <w:color w:val="auto"/>
                <w:spacing w:val="1"/>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★16.</w:t>
            </w:r>
            <w:r>
              <w:rPr>
                <w:rFonts w:hint="eastAsia" w:ascii="宋体" w:hAnsi="宋体" w:eastAsia="宋体" w:cs="宋体"/>
                <w:b/>
                <w:bCs/>
                <w:color w:val="auto"/>
                <w:spacing w:val="1"/>
                <w:sz w:val="24"/>
                <w:szCs w:val="24"/>
                <w:highlight w:val="none"/>
                <w:lang w:val="en-US" w:eastAsia="zh-CN"/>
              </w:rPr>
              <w:t>电池：电池使用寿命≥1000(循环)；灯具电池采用可充电锂电池。</w:t>
            </w:r>
          </w:p>
        </w:tc>
        <w:tc>
          <w:tcPr>
            <w:tcW w:w="715" w:type="dxa"/>
            <w:noWrap w:val="0"/>
            <w:tcMar>
              <w:top w:w="-1" w:type="dxa"/>
              <w:left w:w="-1" w:type="dxa"/>
              <w:bottom w:w="-1" w:type="dxa"/>
              <w:right w:w="-1" w:type="dxa"/>
            </w:tcMar>
            <w:vAlign w:val="center"/>
          </w:tcPr>
          <w:p w14:paraId="40812640">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187</w:t>
            </w:r>
          </w:p>
        </w:tc>
        <w:tc>
          <w:tcPr>
            <w:tcW w:w="811" w:type="dxa"/>
            <w:noWrap w:val="0"/>
            <w:tcMar>
              <w:top w:w="-1" w:type="dxa"/>
              <w:left w:w="-1" w:type="dxa"/>
              <w:bottom w:w="-1" w:type="dxa"/>
              <w:right w:w="-1" w:type="dxa"/>
            </w:tcMar>
            <w:vAlign w:val="center"/>
          </w:tcPr>
          <w:p w14:paraId="0B56FA53">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只</w:t>
            </w:r>
          </w:p>
        </w:tc>
      </w:tr>
      <w:tr w14:paraId="1ED358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6" w:hRule="atLeast"/>
        </w:trPr>
        <w:tc>
          <w:tcPr>
            <w:tcW w:w="527" w:type="dxa"/>
            <w:noWrap w:val="0"/>
            <w:tcMar>
              <w:top w:w="-1" w:type="dxa"/>
              <w:left w:w="-1" w:type="dxa"/>
              <w:bottom w:w="-1" w:type="dxa"/>
              <w:right w:w="-1" w:type="dxa"/>
            </w:tcMar>
            <w:vAlign w:val="center"/>
          </w:tcPr>
          <w:p w14:paraId="2EBED513">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1032" w:type="dxa"/>
            <w:noWrap w:val="0"/>
            <w:tcMar>
              <w:top w:w="-1" w:type="dxa"/>
              <w:left w:w="-1" w:type="dxa"/>
              <w:bottom w:w="-1" w:type="dxa"/>
              <w:right w:w="-1" w:type="dxa"/>
            </w:tcMar>
            <w:vAlign w:val="center"/>
          </w:tcPr>
          <w:p w14:paraId="546AC423">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2"/>
                <w:sz w:val="24"/>
                <w:szCs w:val="24"/>
                <w:highlight w:val="none"/>
              </w:rPr>
              <w:t>打桩机</w:t>
            </w:r>
          </w:p>
        </w:tc>
        <w:tc>
          <w:tcPr>
            <w:tcW w:w="6378" w:type="dxa"/>
            <w:noWrap w:val="0"/>
            <w:tcMar>
              <w:top w:w="-1" w:type="dxa"/>
              <w:left w:w="-1" w:type="dxa"/>
              <w:bottom w:w="-1" w:type="dxa"/>
              <w:right w:w="-1" w:type="dxa"/>
            </w:tcMar>
            <w:vAlign w:val="top"/>
          </w:tcPr>
          <w:p w14:paraId="4F113065">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2"/>
                <w:position w:val="2"/>
                <w:sz w:val="24"/>
                <w:szCs w:val="24"/>
                <w:highlight w:val="none"/>
              </w:rPr>
              <w:t>1、液压流量</w:t>
            </w:r>
            <w:r>
              <w:rPr>
                <w:rFonts w:hint="eastAsia" w:ascii="宋体" w:hAnsi="宋体" w:eastAsia="宋体" w:cs="宋体"/>
                <w:color w:val="auto"/>
                <w:spacing w:val="2"/>
                <w:position w:val="2"/>
                <w:sz w:val="24"/>
                <w:szCs w:val="24"/>
                <w:highlight w:val="none"/>
                <w:lang w:eastAsia="zh-CN"/>
              </w:rPr>
              <w:t>（</w:t>
            </w:r>
            <w:r>
              <w:rPr>
                <w:rFonts w:hint="eastAsia" w:ascii="宋体" w:hAnsi="宋体" w:eastAsia="宋体" w:cs="宋体"/>
                <w:color w:val="auto"/>
                <w:spacing w:val="2"/>
                <w:position w:val="2"/>
                <w:sz w:val="24"/>
                <w:szCs w:val="24"/>
                <w:highlight w:val="none"/>
                <w:lang w:val="en-US" w:eastAsia="zh-CN"/>
              </w:rPr>
              <w:t>l/min）</w:t>
            </w:r>
            <w:r>
              <w:rPr>
                <w:rFonts w:hint="eastAsia" w:ascii="宋体" w:hAnsi="宋体" w:eastAsia="宋体" w:cs="宋体"/>
                <w:color w:val="auto"/>
                <w:spacing w:val="2"/>
                <w:position w:val="2"/>
                <w:sz w:val="24"/>
                <w:szCs w:val="24"/>
                <w:highlight w:val="none"/>
              </w:rPr>
              <w:t>：26</w:t>
            </w:r>
            <w:r>
              <w:rPr>
                <w:rFonts w:hint="eastAsia" w:ascii="宋体" w:hAnsi="宋体" w:eastAsia="宋体" w:cs="宋体"/>
                <w:color w:val="auto"/>
                <w:sz w:val="24"/>
                <w:szCs w:val="24"/>
                <w:highlight w:val="none"/>
              </w:rPr>
              <w:t>～</w:t>
            </w:r>
            <w:r>
              <w:rPr>
                <w:rFonts w:hint="eastAsia" w:ascii="宋体" w:hAnsi="宋体" w:eastAsia="宋体" w:cs="宋体"/>
                <w:color w:val="auto"/>
                <w:spacing w:val="2"/>
                <w:position w:val="2"/>
                <w:sz w:val="24"/>
                <w:szCs w:val="24"/>
                <w:highlight w:val="none"/>
              </w:rPr>
              <w:t>34</w:t>
            </w:r>
            <w:r>
              <w:rPr>
                <w:rFonts w:hint="eastAsia" w:ascii="宋体" w:hAnsi="宋体" w:eastAsia="宋体" w:cs="宋体"/>
                <w:color w:val="auto"/>
                <w:spacing w:val="2"/>
                <w:position w:val="2"/>
                <w:sz w:val="24"/>
                <w:szCs w:val="24"/>
                <w:highlight w:val="none"/>
                <w:lang w:eastAsia="zh-CN"/>
              </w:rPr>
              <w:t>。</w:t>
            </w:r>
          </w:p>
          <w:p w14:paraId="296CB4AD">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textAlignment w:val="baseline"/>
              <w:rPr>
                <w:rFonts w:hint="eastAsia" w:ascii="宋体" w:hAnsi="宋体" w:eastAsia="宋体" w:cs="宋体"/>
                <w:color w:val="auto"/>
                <w:spacing w:val="2"/>
                <w:position w:val="2"/>
                <w:sz w:val="24"/>
                <w:szCs w:val="24"/>
                <w:highlight w:val="none"/>
                <w:lang w:eastAsia="zh-CN"/>
              </w:rPr>
            </w:pPr>
            <w:r>
              <w:rPr>
                <w:rFonts w:hint="eastAsia" w:ascii="宋体" w:hAnsi="宋体" w:eastAsia="宋体" w:cs="宋体"/>
                <w:color w:val="auto"/>
                <w:spacing w:val="2"/>
                <w:position w:val="2"/>
                <w:sz w:val="24"/>
                <w:szCs w:val="24"/>
                <w:highlight w:val="none"/>
              </w:rPr>
              <w:t>2、工作压力(bar)：105</w:t>
            </w:r>
            <w:r>
              <w:rPr>
                <w:rFonts w:hint="eastAsia" w:ascii="宋体" w:hAnsi="宋体" w:eastAsia="宋体" w:cs="宋体"/>
                <w:color w:val="auto"/>
                <w:sz w:val="24"/>
                <w:szCs w:val="24"/>
                <w:highlight w:val="none"/>
              </w:rPr>
              <w:t>～</w:t>
            </w:r>
            <w:r>
              <w:rPr>
                <w:rFonts w:hint="eastAsia" w:ascii="宋体" w:hAnsi="宋体" w:eastAsia="宋体" w:cs="宋体"/>
                <w:color w:val="auto"/>
                <w:spacing w:val="2"/>
                <w:position w:val="2"/>
                <w:sz w:val="24"/>
                <w:szCs w:val="24"/>
                <w:highlight w:val="none"/>
              </w:rPr>
              <w:t>139</w:t>
            </w:r>
            <w:r>
              <w:rPr>
                <w:rFonts w:hint="eastAsia" w:ascii="宋体" w:hAnsi="宋体" w:eastAsia="宋体" w:cs="宋体"/>
                <w:color w:val="auto"/>
                <w:spacing w:val="2"/>
                <w:position w:val="2"/>
                <w:sz w:val="24"/>
                <w:szCs w:val="24"/>
                <w:highlight w:val="none"/>
                <w:lang w:eastAsia="zh-CN"/>
              </w:rPr>
              <w:t>。</w:t>
            </w:r>
          </w:p>
          <w:p w14:paraId="4B321039">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textAlignment w:val="baseline"/>
              <w:rPr>
                <w:rFonts w:hint="eastAsia" w:ascii="宋体" w:hAnsi="宋体" w:eastAsia="宋体" w:cs="宋体"/>
                <w:color w:val="auto"/>
                <w:spacing w:val="2"/>
                <w:position w:val="2"/>
                <w:sz w:val="24"/>
                <w:szCs w:val="24"/>
                <w:highlight w:val="none"/>
                <w:lang w:eastAsia="zh-CN"/>
              </w:rPr>
            </w:pPr>
            <w:r>
              <w:rPr>
                <w:rFonts w:hint="eastAsia" w:ascii="宋体" w:hAnsi="宋体" w:eastAsia="宋体" w:cs="宋体"/>
                <w:color w:val="auto"/>
                <w:spacing w:val="2"/>
                <w:position w:val="2"/>
                <w:sz w:val="24"/>
                <w:szCs w:val="24"/>
                <w:highlight w:val="none"/>
              </w:rPr>
              <w:t>3、最大压力(bar)：172</w:t>
            </w:r>
            <w:r>
              <w:rPr>
                <w:rFonts w:hint="eastAsia" w:ascii="宋体" w:hAnsi="宋体" w:eastAsia="宋体" w:cs="宋体"/>
                <w:color w:val="auto"/>
                <w:spacing w:val="2"/>
                <w:position w:val="2"/>
                <w:sz w:val="24"/>
                <w:szCs w:val="24"/>
                <w:highlight w:val="none"/>
                <w:lang w:eastAsia="zh-CN"/>
              </w:rPr>
              <w:t>。</w:t>
            </w:r>
          </w:p>
          <w:p w14:paraId="4CC8DB17">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textAlignment w:val="baseline"/>
              <w:rPr>
                <w:rFonts w:hint="eastAsia" w:ascii="宋体" w:hAnsi="宋体" w:eastAsia="宋体" w:cs="宋体"/>
                <w:color w:val="auto"/>
                <w:spacing w:val="2"/>
                <w:position w:val="2"/>
                <w:sz w:val="24"/>
                <w:szCs w:val="24"/>
                <w:highlight w:val="none"/>
                <w:lang w:eastAsia="zh-CN"/>
              </w:rPr>
            </w:pPr>
            <w:r>
              <w:rPr>
                <w:rFonts w:hint="eastAsia" w:ascii="宋体" w:hAnsi="宋体" w:eastAsia="宋体" w:cs="宋体"/>
                <w:color w:val="auto"/>
                <w:spacing w:val="2"/>
                <w:position w:val="2"/>
                <w:sz w:val="24"/>
                <w:szCs w:val="24"/>
                <w:highlight w:val="none"/>
              </w:rPr>
              <w:t>4、冲击频率(bpm)：1700</w:t>
            </w:r>
            <w:r>
              <w:rPr>
                <w:rFonts w:hint="eastAsia" w:ascii="宋体" w:hAnsi="宋体" w:eastAsia="宋体" w:cs="宋体"/>
                <w:color w:val="auto"/>
                <w:spacing w:val="2"/>
                <w:position w:val="2"/>
                <w:sz w:val="24"/>
                <w:szCs w:val="24"/>
                <w:highlight w:val="none"/>
                <w:lang w:eastAsia="zh-CN"/>
              </w:rPr>
              <w:t>。</w:t>
            </w:r>
          </w:p>
          <w:p w14:paraId="42285DCA">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textAlignment w:val="baseline"/>
              <w:rPr>
                <w:rFonts w:hint="eastAsia" w:ascii="宋体" w:hAnsi="宋体" w:eastAsia="宋体" w:cs="宋体"/>
                <w:color w:val="auto"/>
                <w:spacing w:val="2"/>
                <w:position w:val="2"/>
                <w:sz w:val="24"/>
                <w:szCs w:val="24"/>
                <w:highlight w:val="none"/>
                <w:lang w:eastAsia="zh-CN"/>
              </w:rPr>
            </w:pPr>
            <w:r>
              <w:rPr>
                <w:rFonts w:hint="eastAsia" w:ascii="宋体" w:hAnsi="宋体" w:eastAsia="宋体" w:cs="宋体"/>
                <w:color w:val="auto"/>
                <w:spacing w:val="2"/>
                <w:position w:val="2"/>
                <w:sz w:val="24"/>
                <w:szCs w:val="24"/>
                <w:highlight w:val="none"/>
              </w:rPr>
              <w:t>5、振动强度(三轴)</w:t>
            </w:r>
            <w:r>
              <w:rPr>
                <w:rFonts w:hint="eastAsia" w:ascii="宋体" w:hAnsi="宋体" w:eastAsia="宋体" w:cs="宋体"/>
                <w:color w:val="auto"/>
                <w:spacing w:val="2"/>
                <w:position w:val="2"/>
                <w:sz w:val="24"/>
                <w:szCs w:val="24"/>
                <w:highlight w:val="none"/>
                <w:lang w:eastAsia="zh-CN"/>
              </w:rPr>
              <w:t>m/s²</w:t>
            </w:r>
            <w:r>
              <w:rPr>
                <w:rFonts w:hint="eastAsia" w:ascii="宋体" w:hAnsi="宋体" w:eastAsia="宋体" w:cs="宋体"/>
                <w:color w:val="auto"/>
                <w:spacing w:val="2"/>
                <w:position w:val="2"/>
                <w:sz w:val="24"/>
                <w:szCs w:val="24"/>
                <w:highlight w:val="none"/>
              </w:rPr>
              <w:t>：9.4</w:t>
            </w:r>
            <w:r>
              <w:rPr>
                <w:rFonts w:hint="eastAsia" w:ascii="宋体" w:hAnsi="宋体" w:eastAsia="宋体" w:cs="宋体"/>
                <w:color w:val="auto"/>
                <w:spacing w:val="2"/>
                <w:position w:val="2"/>
                <w:sz w:val="24"/>
                <w:szCs w:val="24"/>
                <w:highlight w:val="none"/>
                <w:lang w:eastAsia="zh-CN"/>
              </w:rPr>
              <w:t>。</w:t>
            </w:r>
          </w:p>
          <w:p w14:paraId="6DA8E3DA">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textAlignment w:val="baseline"/>
              <w:rPr>
                <w:rFonts w:hint="eastAsia" w:ascii="宋体" w:hAnsi="宋体" w:eastAsia="宋体" w:cs="宋体"/>
                <w:color w:val="auto"/>
                <w:spacing w:val="2"/>
                <w:position w:val="2"/>
                <w:sz w:val="24"/>
                <w:szCs w:val="24"/>
                <w:highlight w:val="none"/>
                <w:lang w:eastAsia="zh-CN"/>
              </w:rPr>
            </w:pPr>
            <w:r>
              <w:rPr>
                <w:rFonts w:hint="eastAsia" w:ascii="宋体" w:hAnsi="宋体" w:eastAsia="宋体" w:cs="宋体"/>
                <w:color w:val="auto"/>
                <w:spacing w:val="2"/>
                <w:position w:val="2"/>
                <w:sz w:val="24"/>
                <w:szCs w:val="24"/>
                <w:highlight w:val="none"/>
                <w:lang w:val="en-US" w:eastAsia="zh-CN"/>
              </w:rPr>
              <w:t>6</w:t>
            </w:r>
            <w:r>
              <w:rPr>
                <w:rFonts w:hint="eastAsia" w:ascii="宋体" w:hAnsi="宋体" w:eastAsia="宋体" w:cs="宋体"/>
                <w:color w:val="auto"/>
                <w:spacing w:val="2"/>
                <w:position w:val="2"/>
                <w:sz w:val="24"/>
                <w:szCs w:val="24"/>
                <w:highlight w:val="none"/>
              </w:rPr>
              <w:t>、桩头接口：圆形(mm)：100</w:t>
            </w:r>
            <w:r>
              <w:rPr>
                <w:rFonts w:hint="eastAsia" w:ascii="宋体" w:hAnsi="宋体" w:eastAsia="宋体" w:cs="宋体"/>
                <w:color w:val="auto"/>
                <w:spacing w:val="2"/>
                <w:position w:val="2"/>
                <w:sz w:val="24"/>
                <w:szCs w:val="24"/>
                <w:highlight w:val="none"/>
                <w:lang w:eastAsia="zh-CN"/>
              </w:rPr>
              <w:t>。</w:t>
            </w:r>
          </w:p>
        </w:tc>
        <w:tc>
          <w:tcPr>
            <w:tcW w:w="715" w:type="dxa"/>
            <w:noWrap w:val="0"/>
            <w:tcMar>
              <w:top w:w="-1" w:type="dxa"/>
              <w:left w:w="-1" w:type="dxa"/>
              <w:bottom w:w="-1" w:type="dxa"/>
              <w:right w:w="-1" w:type="dxa"/>
            </w:tcMar>
            <w:vAlign w:val="center"/>
          </w:tcPr>
          <w:p w14:paraId="23B602F7">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w:t>
            </w:r>
          </w:p>
        </w:tc>
        <w:tc>
          <w:tcPr>
            <w:tcW w:w="811" w:type="dxa"/>
            <w:noWrap w:val="0"/>
            <w:tcMar>
              <w:top w:w="-1" w:type="dxa"/>
              <w:left w:w="-1" w:type="dxa"/>
              <w:bottom w:w="-1" w:type="dxa"/>
              <w:right w:w="-1" w:type="dxa"/>
            </w:tcMar>
            <w:vAlign w:val="center"/>
          </w:tcPr>
          <w:p w14:paraId="4386B87D">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center"/>
              <w:textAlignment w:val="baseline"/>
              <w:rPr>
                <w:rFonts w:hint="eastAsia" w:ascii="宋体" w:hAnsi="宋体" w:eastAsia="宋体" w:cs="宋体"/>
                <w:b w:val="0"/>
                <w:bCs w:val="0"/>
                <w:color w:val="auto"/>
                <w:spacing w:val="2"/>
                <w:position w:val="2"/>
                <w:sz w:val="24"/>
                <w:szCs w:val="24"/>
                <w:highlight w:val="none"/>
              </w:rPr>
            </w:pPr>
            <w:r>
              <w:rPr>
                <w:rFonts w:hint="eastAsia" w:ascii="宋体" w:hAnsi="宋体" w:eastAsia="宋体" w:cs="宋体"/>
                <w:b w:val="0"/>
                <w:bCs w:val="0"/>
                <w:color w:val="auto"/>
                <w:spacing w:val="2"/>
                <w:position w:val="2"/>
                <w:sz w:val="24"/>
                <w:szCs w:val="24"/>
                <w:highlight w:val="none"/>
                <w:lang w:val="en-US" w:eastAsia="zh-CN"/>
              </w:rPr>
              <w:t>台</w:t>
            </w:r>
          </w:p>
        </w:tc>
      </w:tr>
      <w:tr w14:paraId="7AC4C2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527" w:type="dxa"/>
            <w:noWrap w:val="0"/>
            <w:tcMar>
              <w:top w:w="-1" w:type="dxa"/>
              <w:left w:w="-1" w:type="dxa"/>
              <w:bottom w:w="-1" w:type="dxa"/>
              <w:right w:w="-1" w:type="dxa"/>
            </w:tcMar>
            <w:vAlign w:val="center"/>
          </w:tcPr>
          <w:p w14:paraId="64C9BEE0">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1032" w:type="dxa"/>
            <w:noWrap w:val="0"/>
            <w:tcMar>
              <w:top w:w="-1" w:type="dxa"/>
              <w:left w:w="-1" w:type="dxa"/>
              <w:bottom w:w="-1" w:type="dxa"/>
              <w:right w:w="-1" w:type="dxa"/>
            </w:tcMar>
            <w:vAlign w:val="center"/>
          </w:tcPr>
          <w:p w14:paraId="39A7C303">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6"/>
                <w:sz w:val="24"/>
                <w:szCs w:val="24"/>
                <w:highlight w:val="none"/>
              </w:rPr>
              <w:t>电缆</w:t>
            </w:r>
          </w:p>
        </w:tc>
        <w:tc>
          <w:tcPr>
            <w:tcW w:w="6378" w:type="dxa"/>
            <w:noWrap w:val="0"/>
            <w:tcMar>
              <w:top w:w="-1" w:type="dxa"/>
              <w:left w:w="-1" w:type="dxa"/>
              <w:bottom w:w="-1" w:type="dxa"/>
              <w:right w:w="-1" w:type="dxa"/>
            </w:tcMar>
            <w:vAlign w:val="top"/>
          </w:tcPr>
          <w:p w14:paraId="5A580D8E">
            <w:pPr>
              <w:pStyle w:val="7"/>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380" w:lineRule="exact"/>
              <w:ind w:left="0" w:leftChars="0" w:right="0" w:rightChars="0"/>
              <w:textAlignment w:val="baseline"/>
              <w:rPr>
                <w:rFonts w:hint="eastAsia" w:ascii="宋体" w:hAnsi="宋体" w:eastAsia="宋体" w:cs="宋体"/>
                <w:color w:val="auto"/>
                <w:spacing w:val="2"/>
                <w:position w:val="2"/>
                <w:sz w:val="24"/>
                <w:szCs w:val="24"/>
                <w:highlight w:val="none"/>
                <w:lang w:eastAsia="zh-CN"/>
              </w:rPr>
            </w:pPr>
            <w:r>
              <w:rPr>
                <w:rFonts w:hint="eastAsia" w:ascii="宋体" w:hAnsi="宋体" w:eastAsia="宋体" w:cs="宋体"/>
                <w:color w:val="auto"/>
                <w:spacing w:val="4"/>
                <w:position w:val="2"/>
                <w:sz w:val="24"/>
                <w:szCs w:val="24"/>
                <w:highlight w:val="none"/>
              </w:rPr>
              <w:t>1.国标</w:t>
            </w:r>
            <w:r>
              <w:rPr>
                <w:rFonts w:hint="eastAsia" w:ascii="宋体" w:hAnsi="宋体" w:eastAsia="宋体" w:cs="宋体"/>
                <w:color w:val="auto"/>
                <w:position w:val="2"/>
                <w:sz w:val="24"/>
                <w:szCs w:val="24"/>
                <w:highlight w:val="none"/>
              </w:rPr>
              <w:t>BVR</w:t>
            </w:r>
            <w:r>
              <w:rPr>
                <w:rFonts w:hint="eastAsia" w:ascii="宋体" w:hAnsi="宋体" w:eastAsia="宋体" w:cs="宋体"/>
                <w:color w:val="auto"/>
                <w:spacing w:val="4"/>
                <w:position w:val="2"/>
                <w:sz w:val="24"/>
                <w:szCs w:val="24"/>
                <w:highlight w:val="none"/>
              </w:rPr>
              <w:t>多股4平方，无氧纯铜，环保聚氯</w:t>
            </w:r>
            <w:r>
              <w:rPr>
                <w:rFonts w:hint="eastAsia" w:ascii="宋体" w:hAnsi="宋体" w:eastAsia="宋体" w:cs="宋体"/>
                <w:color w:val="auto"/>
                <w:spacing w:val="3"/>
                <w:position w:val="2"/>
                <w:sz w:val="24"/>
                <w:szCs w:val="24"/>
                <w:highlight w:val="none"/>
              </w:rPr>
              <w:t>乙烯护套</w:t>
            </w:r>
            <w:r>
              <w:rPr>
                <w:rFonts w:hint="eastAsia" w:ascii="宋体" w:hAnsi="宋体" w:eastAsia="宋体" w:cs="宋体"/>
                <w:color w:val="auto"/>
                <w:spacing w:val="3"/>
                <w:position w:val="2"/>
                <w:sz w:val="24"/>
                <w:szCs w:val="24"/>
                <w:highlight w:val="none"/>
                <w:lang w:eastAsia="zh-CN"/>
              </w:rPr>
              <w:t>。</w:t>
            </w:r>
          </w:p>
        </w:tc>
        <w:tc>
          <w:tcPr>
            <w:tcW w:w="715" w:type="dxa"/>
            <w:noWrap w:val="0"/>
            <w:tcMar>
              <w:top w:w="-1" w:type="dxa"/>
              <w:left w:w="-1" w:type="dxa"/>
              <w:bottom w:w="-1" w:type="dxa"/>
              <w:right w:w="-1" w:type="dxa"/>
            </w:tcMar>
            <w:vAlign w:val="center"/>
          </w:tcPr>
          <w:p w14:paraId="4B8A1692">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center"/>
              <w:textAlignment w:val="baseline"/>
              <w:rPr>
                <w:rFonts w:hint="eastAsia" w:ascii="宋体" w:hAnsi="宋体" w:eastAsia="宋体" w:cs="宋体"/>
                <w:b w:val="0"/>
                <w:bCs w:val="0"/>
                <w:color w:val="auto"/>
                <w:spacing w:val="4"/>
                <w:position w:val="2"/>
                <w:sz w:val="24"/>
                <w:szCs w:val="24"/>
                <w:highlight w:val="none"/>
                <w:lang w:val="en-US" w:eastAsia="zh-CN"/>
              </w:rPr>
            </w:pPr>
            <w:r>
              <w:rPr>
                <w:rFonts w:hint="eastAsia" w:ascii="宋体" w:hAnsi="宋体" w:eastAsia="宋体" w:cs="宋体"/>
                <w:b w:val="0"/>
                <w:bCs w:val="0"/>
                <w:color w:val="auto"/>
                <w:spacing w:val="4"/>
                <w:position w:val="2"/>
                <w:sz w:val="24"/>
                <w:szCs w:val="24"/>
                <w:highlight w:val="none"/>
                <w:lang w:val="en-US" w:eastAsia="zh-CN"/>
              </w:rPr>
              <w:t>3000</w:t>
            </w:r>
          </w:p>
        </w:tc>
        <w:tc>
          <w:tcPr>
            <w:tcW w:w="811" w:type="dxa"/>
            <w:noWrap w:val="0"/>
            <w:tcMar>
              <w:top w:w="-1" w:type="dxa"/>
              <w:left w:w="-1" w:type="dxa"/>
              <w:bottom w:w="-1" w:type="dxa"/>
              <w:right w:w="-1" w:type="dxa"/>
            </w:tcMar>
            <w:vAlign w:val="center"/>
          </w:tcPr>
          <w:p w14:paraId="4D4288E4">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center"/>
              <w:textAlignment w:val="baseline"/>
              <w:rPr>
                <w:rFonts w:hint="eastAsia" w:ascii="宋体" w:hAnsi="宋体" w:eastAsia="宋体" w:cs="宋体"/>
                <w:b w:val="0"/>
                <w:bCs w:val="0"/>
                <w:color w:val="auto"/>
                <w:spacing w:val="4"/>
                <w:position w:val="2"/>
                <w:sz w:val="24"/>
                <w:szCs w:val="24"/>
                <w:highlight w:val="none"/>
                <w:lang w:val="en-US" w:eastAsia="zh-CN"/>
              </w:rPr>
            </w:pPr>
            <w:r>
              <w:rPr>
                <w:rFonts w:hint="eastAsia" w:ascii="宋体" w:hAnsi="宋体" w:eastAsia="宋体" w:cs="宋体"/>
                <w:b w:val="0"/>
                <w:bCs w:val="0"/>
                <w:color w:val="auto"/>
                <w:spacing w:val="4"/>
                <w:position w:val="2"/>
                <w:sz w:val="24"/>
                <w:szCs w:val="24"/>
                <w:highlight w:val="none"/>
                <w:lang w:val="en-US" w:eastAsia="zh-CN"/>
              </w:rPr>
              <w:t>米</w:t>
            </w:r>
          </w:p>
        </w:tc>
      </w:tr>
      <w:tr w14:paraId="184B2E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7" w:hRule="atLeast"/>
        </w:trPr>
        <w:tc>
          <w:tcPr>
            <w:tcW w:w="527" w:type="dxa"/>
            <w:noWrap w:val="0"/>
            <w:tcMar>
              <w:top w:w="-1" w:type="dxa"/>
              <w:left w:w="-1" w:type="dxa"/>
              <w:bottom w:w="-1" w:type="dxa"/>
              <w:right w:w="-1" w:type="dxa"/>
            </w:tcMar>
            <w:vAlign w:val="center"/>
          </w:tcPr>
          <w:p w14:paraId="127FE1CE">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p>
        </w:tc>
        <w:tc>
          <w:tcPr>
            <w:tcW w:w="1032" w:type="dxa"/>
            <w:noWrap w:val="0"/>
            <w:tcMar>
              <w:top w:w="-1" w:type="dxa"/>
              <w:left w:w="-1" w:type="dxa"/>
              <w:bottom w:w="-1" w:type="dxa"/>
              <w:right w:w="-1" w:type="dxa"/>
            </w:tcMar>
            <w:vAlign w:val="center"/>
          </w:tcPr>
          <w:p w14:paraId="0258FB8F">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1"/>
                <w:sz w:val="24"/>
                <w:szCs w:val="24"/>
                <w:highlight w:val="none"/>
              </w:rPr>
              <w:t>水泵</w:t>
            </w:r>
          </w:p>
        </w:tc>
        <w:tc>
          <w:tcPr>
            <w:tcW w:w="6378" w:type="dxa"/>
            <w:noWrap w:val="0"/>
            <w:tcMar>
              <w:top w:w="-1" w:type="dxa"/>
              <w:left w:w="-1" w:type="dxa"/>
              <w:bottom w:w="-1" w:type="dxa"/>
              <w:right w:w="-1" w:type="dxa"/>
            </w:tcMar>
            <w:vAlign w:val="top"/>
          </w:tcPr>
          <w:p w14:paraId="14EC339E">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b/>
                <w:bCs/>
                <w:snapToGrid w:val="0"/>
                <w:color w:val="auto"/>
                <w:spacing w:val="2"/>
                <w:kern w:val="0"/>
                <w:position w:val="2"/>
                <w:sz w:val="24"/>
                <w:szCs w:val="24"/>
                <w:highlight w:val="none"/>
                <w:lang w:val="en-US" w:eastAsia="zh-CN" w:bidi="ar-SA"/>
              </w:rPr>
              <w:t>1.</w:t>
            </w:r>
            <w:r>
              <w:rPr>
                <w:rFonts w:hint="eastAsia" w:ascii="宋体" w:hAnsi="宋体" w:eastAsia="宋体" w:cs="宋体"/>
                <w:b/>
                <w:bCs/>
                <w:color w:val="auto"/>
                <w:spacing w:val="2"/>
                <w:position w:val="2"/>
                <w:sz w:val="24"/>
                <w:szCs w:val="24"/>
                <w:highlight w:val="none"/>
                <w:lang w:val="en-US" w:eastAsia="zh-CN"/>
              </w:rPr>
              <w:t>结构要求：泵组由三级离心水泵与二冲程风冷汽油发动机组成。进水口直径50mm,出水口直径38mm；水泵单机重量应小于等于15kg,配有背架、可手提和背负。</w:t>
            </w:r>
          </w:p>
          <w:p w14:paraId="536F7177">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2.</w:t>
            </w:r>
            <w:r>
              <w:rPr>
                <w:rFonts w:hint="eastAsia" w:ascii="宋体" w:hAnsi="宋体" w:eastAsia="宋体" w:cs="宋体"/>
                <w:color w:val="auto"/>
                <w:spacing w:val="-2"/>
                <w:sz w:val="24"/>
                <w:szCs w:val="24"/>
                <w:highlight w:val="none"/>
              </w:rPr>
              <w:t>材料要求</w:t>
            </w:r>
            <w:r>
              <w:rPr>
                <w:rFonts w:hint="eastAsia" w:ascii="宋体" w:hAnsi="宋体" w:eastAsia="宋体" w:cs="宋体"/>
                <w:color w:val="auto"/>
                <w:spacing w:val="-2"/>
                <w:sz w:val="24"/>
                <w:szCs w:val="24"/>
                <w:highlight w:val="none"/>
                <w:lang w:eastAsia="zh-CN"/>
              </w:rPr>
              <w:t>：泵壳和三级离心水泵叶轮应为铝合金铸造，并经防腐处理。</w:t>
            </w:r>
          </w:p>
          <w:p w14:paraId="167B984B">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3.</w:t>
            </w:r>
            <w:r>
              <w:rPr>
                <w:rFonts w:hint="eastAsia" w:ascii="宋体" w:hAnsi="宋体" w:eastAsia="宋体" w:cs="宋体"/>
                <w:color w:val="auto"/>
                <w:spacing w:val="2"/>
                <w:position w:val="2"/>
                <w:sz w:val="24"/>
                <w:szCs w:val="24"/>
                <w:highlight w:val="none"/>
                <w:lang w:val="en-US" w:eastAsia="zh-CN"/>
              </w:rPr>
              <w:t>连续运转性能：泵组经工况4下连续24h的运转试验后，应能在30秒内正常启动，且出口压力、流量符合规定要求。</w:t>
            </w:r>
          </w:p>
          <w:p w14:paraId="7FBD2FCC">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4.</w:t>
            </w:r>
            <w:r>
              <w:rPr>
                <w:rFonts w:hint="eastAsia" w:ascii="宋体" w:hAnsi="宋体" w:eastAsia="宋体" w:cs="宋体"/>
                <w:color w:val="auto"/>
                <w:spacing w:val="2"/>
                <w:position w:val="2"/>
                <w:sz w:val="24"/>
                <w:szCs w:val="24"/>
                <w:highlight w:val="none"/>
                <w:lang w:val="en-US" w:eastAsia="zh-CN"/>
              </w:rPr>
              <w:t>运转关闭性能：水泵在出水口关闭的情况下，高速运转应能够工作5分钟以上。</w:t>
            </w:r>
          </w:p>
          <w:p w14:paraId="53B42791">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★5.防超速保护功能：发动机应具备超速保护自动复位功能。按企标规定试验时，发动机应在3秒内自动停止；按企标规定试验时，发动机自动停止后应不需调整防超速保护开关即能启动。</w:t>
            </w:r>
          </w:p>
          <w:p w14:paraId="65205EB7">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6.</w:t>
            </w:r>
            <w:r>
              <w:rPr>
                <w:rFonts w:hint="eastAsia" w:ascii="宋体" w:hAnsi="宋体" w:eastAsia="宋体" w:cs="宋体"/>
                <w:color w:val="auto"/>
                <w:spacing w:val="2"/>
                <w:position w:val="2"/>
                <w:sz w:val="24"/>
                <w:szCs w:val="24"/>
                <w:highlight w:val="none"/>
                <w:lang w:val="en-US" w:eastAsia="zh-CN"/>
              </w:rPr>
              <w:t>吸程（m）：≥9。</w:t>
            </w:r>
          </w:p>
          <w:p w14:paraId="1F88B8E7">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7.</w:t>
            </w:r>
            <w:r>
              <w:rPr>
                <w:rFonts w:hint="eastAsia" w:ascii="宋体" w:hAnsi="宋体" w:eastAsia="宋体" w:cs="宋体"/>
                <w:color w:val="auto"/>
                <w:spacing w:val="2"/>
                <w:position w:val="2"/>
                <w:sz w:val="24"/>
                <w:szCs w:val="24"/>
                <w:highlight w:val="none"/>
                <w:lang w:val="en-US" w:eastAsia="zh-CN"/>
              </w:rPr>
              <w:t>启动性能：启动时间不超过30秒。</w:t>
            </w:r>
          </w:p>
          <w:p w14:paraId="6CF2EAD2">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8.</w:t>
            </w:r>
            <w:r>
              <w:rPr>
                <w:rFonts w:hint="eastAsia" w:ascii="宋体" w:hAnsi="宋体" w:eastAsia="宋体" w:cs="宋体"/>
                <w:color w:val="auto"/>
                <w:spacing w:val="2"/>
                <w:position w:val="2"/>
                <w:sz w:val="24"/>
                <w:szCs w:val="24"/>
                <w:highlight w:val="none"/>
                <w:lang w:val="en-US" w:eastAsia="zh-CN"/>
              </w:rPr>
              <w:t>横、纵向倾斜性能：泵组在横向、纵向倾斜90°的条件下，在工况3下各运转1小时，泵应正常工作。</w:t>
            </w:r>
          </w:p>
          <w:p w14:paraId="422E5C81">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50" w:after="0" w:afterLines="50"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9.</w:t>
            </w:r>
            <w:r>
              <w:rPr>
                <w:rFonts w:hint="eastAsia" w:ascii="宋体" w:hAnsi="宋体" w:eastAsia="宋体" w:cs="宋体"/>
                <w:color w:val="auto"/>
                <w:spacing w:val="2"/>
                <w:position w:val="2"/>
                <w:sz w:val="24"/>
                <w:szCs w:val="24"/>
                <w:highlight w:val="none"/>
                <w:lang w:val="en-US" w:eastAsia="zh-CN"/>
              </w:rPr>
              <w:t>串并联性能：泵组之间可以串联架设、并联架设、并串联架设，并能正常工作。</w:t>
            </w:r>
          </w:p>
        </w:tc>
        <w:tc>
          <w:tcPr>
            <w:tcW w:w="715" w:type="dxa"/>
            <w:noWrap w:val="0"/>
            <w:tcMar>
              <w:top w:w="-1" w:type="dxa"/>
              <w:left w:w="-1" w:type="dxa"/>
              <w:bottom w:w="-1" w:type="dxa"/>
              <w:right w:w="-1" w:type="dxa"/>
            </w:tcMar>
            <w:vAlign w:val="center"/>
          </w:tcPr>
          <w:p w14:paraId="2FEA89B8">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13" w:firstLine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w:t>
            </w:r>
          </w:p>
        </w:tc>
        <w:tc>
          <w:tcPr>
            <w:tcW w:w="811" w:type="dxa"/>
            <w:noWrap w:val="0"/>
            <w:tcMar>
              <w:top w:w="-1" w:type="dxa"/>
              <w:left w:w="-1" w:type="dxa"/>
              <w:bottom w:w="-1" w:type="dxa"/>
              <w:right w:w="-1" w:type="dxa"/>
            </w:tcMar>
            <w:vAlign w:val="center"/>
          </w:tcPr>
          <w:p w14:paraId="72F09054">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13" w:firstLine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台</w:t>
            </w:r>
          </w:p>
        </w:tc>
      </w:tr>
      <w:tr w14:paraId="6112F2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8" w:hRule="atLeast"/>
        </w:trPr>
        <w:tc>
          <w:tcPr>
            <w:tcW w:w="527" w:type="dxa"/>
            <w:noWrap w:val="0"/>
            <w:tcMar>
              <w:top w:w="-1" w:type="dxa"/>
              <w:left w:w="-1" w:type="dxa"/>
              <w:bottom w:w="-1" w:type="dxa"/>
              <w:right w:w="-1" w:type="dxa"/>
            </w:tcMar>
            <w:vAlign w:val="center"/>
          </w:tcPr>
          <w:p w14:paraId="106F3D44">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11</w:t>
            </w:r>
          </w:p>
        </w:tc>
        <w:tc>
          <w:tcPr>
            <w:tcW w:w="1032" w:type="dxa"/>
            <w:noWrap w:val="0"/>
            <w:tcMar>
              <w:top w:w="-1" w:type="dxa"/>
              <w:left w:w="-1" w:type="dxa"/>
              <w:bottom w:w="-1" w:type="dxa"/>
              <w:right w:w="-1" w:type="dxa"/>
            </w:tcMar>
            <w:vAlign w:val="center"/>
          </w:tcPr>
          <w:p w14:paraId="51930025">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水泵</w:t>
            </w:r>
          </w:p>
        </w:tc>
        <w:tc>
          <w:tcPr>
            <w:tcW w:w="6378" w:type="dxa"/>
            <w:noWrap w:val="0"/>
            <w:tcMar>
              <w:top w:w="-1" w:type="dxa"/>
              <w:left w:w="-1" w:type="dxa"/>
              <w:bottom w:w="-1" w:type="dxa"/>
              <w:right w:w="-1" w:type="dxa"/>
            </w:tcMar>
            <w:vAlign w:val="top"/>
          </w:tcPr>
          <w:p w14:paraId="4CDD0C5C">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b/>
                <w:bCs/>
                <w:snapToGrid w:val="0"/>
                <w:color w:val="auto"/>
                <w:spacing w:val="2"/>
                <w:kern w:val="0"/>
                <w:position w:val="2"/>
                <w:sz w:val="24"/>
                <w:szCs w:val="24"/>
                <w:highlight w:val="none"/>
                <w:lang w:val="en-US" w:eastAsia="zh-CN" w:bidi="ar-SA"/>
              </w:rPr>
              <w:t>1.</w:t>
            </w:r>
            <w:r>
              <w:rPr>
                <w:rFonts w:hint="eastAsia" w:ascii="宋体" w:hAnsi="宋体" w:eastAsia="宋体" w:cs="宋体"/>
                <w:b/>
                <w:bCs/>
                <w:color w:val="auto"/>
                <w:spacing w:val="2"/>
                <w:position w:val="2"/>
                <w:sz w:val="24"/>
                <w:szCs w:val="24"/>
                <w:highlight w:val="none"/>
                <w:lang w:val="en-US" w:eastAsia="zh-CN"/>
              </w:rPr>
              <w:t>结构要求：泵组由四级离心水泵与二冲程风冷汽油发动机组成。进水口直径50mm,出水口直径38mm；水泵单机重量应小于等于34kg,配有背架、可手提和背负。</w:t>
            </w:r>
          </w:p>
          <w:p w14:paraId="213844CF">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2.</w:t>
            </w:r>
            <w:r>
              <w:rPr>
                <w:rFonts w:hint="eastAsia" w:ascii="宋体" w:hAnsi="宋体" w:eastAsia="宋体" w:cs="宋体"/>
                <w:color w:val="auto"/>
                <w:spacing w:val="-2"/>
                <w:sz w:val="24"/>
                <w:szCs w:val="24"/>
                <w:highlight w:val="none"/>
              </w:rPr>
              <w:t>材料要求</w:t>
            </w:r>
            <w:r>
              <w:rPr>
                <w:rFonts w:hint="eastAsia" w:ascii="宋体" w:hAnsi="宋体" w:eastAsia="宋体" w:cs="宋体"/>
                <w:color w:val="auto"/>
                <w:spacing w:val="-2"/>
                <w:sz w:val="24"/>
                <w:szCs w:val="24"/>
                <w:highlight w:val="none"/>
                <w:lang w:eastAsia="zh-CN"/>
              </w:rPr>
              <w:t>：泵壳和</w:t>
            </w:r>
            <w:r>
              <w:rPr>
                <w:rFonts w:hint="eastAsia" w:ascii="宋体" w:hAnsi="宋体" w:eastAsia="宋体" w:cs="宋体"/>
                <w:color w:val="auto"/>
                <w:spacing w:val="-2"/>
                <w:sz w:val="24"/>
                <w:szCs w:val="24"/>
                <w:highlight w:val="none"/>
                <w:lang w:val="en-US" w:eastAsia="zh-CN"/>
              </w:rPr>
              <w:t>四</w:t>
            </w:r>
            <w:r>
              <w:rPr>
                <w:rFonts w:hint="eastAsia" w:ascii="宋体" w:hAnsi="宋体" w:eastAsia="宋体" w:cs="宋体"/>
                <w:color w:val="auto"/>
                <w:spacing w:val="-2"/>
                <w:sz w:val="24"/>
                <w:szCs w:val="24"/>
                <w:highlight w:val="none"/>
                <w:lang w:eastAsia="zh-CN"/>
              </w:rPr>
              <w:t>级离心水泵叶轮应为铝合金铸造，并经防腐处理。</w:t>
            </w:r>
          </w:p>
          <w:p w14:paraId="16C7351B">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3.</w:t>
            </w:r>
            <w:r>
              <w:rPr>
                <w:rFonts w:hint="eastAsia" w:ascii="宋体" w:hAnsi="宋体" w:eastAsia="宋体" w:cs="宋体"/>
                <w:color w:val="auto"/>
                <w:spacing w:val="2"/>
                <w:position w:val="2"/>
                <w:sz w:val="24"/>
                <w:szCs w:val="24"/>
                <w:highlight w:val="none"/>
                <w:lang w:val="en-US" w:eastAsia="zh-CN"/>
              </w:rPr>
              <w:t>连续运转性能：泵组经工况4下连续24h的运转试验后，应能在30秒内正常启动，且出口压力、流量符合规定要求。</w:t>
            </w:r>
          </w:p>
          <w:p w14:paraId="6DB18DA1">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4.</w:t>
            </w:r>
            <w:r>
              <w:rPr>
                <w:rFonts w:hint="eastAsia" w:ascii="宋体" w:hAnsi="宋体" w:eastAsia="宋体" w:cs="宋体"/>
                <w:color w:val="auto"/>
                <w:spacing w:val="2"/>
                <w:position w:val="2"/>
                <w:sz w:val="24"/>
                <w:szCs w:val="24"/>
                <w:highlight w:val="none"/>
                <w:lang w:val="en-US" w:eastAsia="zh-CN"/>
              </w:rPr>
              <w:t>运转关闭性能：水泵在出水口关闭的情况下，高速运转应能够工作5分钟以上。</w:t>
            </w:r>
          </w:p>
          <w:p w14:paraId="53FF7946">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b/>
                <w:bCs/>
                <w:snapToGrid w:val="0"/>
                <w:color w:val="auto"/>
                <w:spacing w:val="2"/>
                <w:kern w:val="0"/>
                <w:position w:val="2"/>
                <w:sz w:val="24"/>
                <w:szCs w:val="24"/>
                <w:highlight w:val="none"/>
                <w:lang w:val="en-US" w:eastAsia="zh-CN" w:bidi="ar-SA"/>
              </w:rPr>
              <w:t>5.</w:t>
            </w:r>
            <w:r>
              <w:rPr>
                <w:rFonts w:hint="eastAsia" w:ascii="宋体" w:hAnsi="宋体" w:eastAsia="宋体" w:cs="宋体"/>
                <w:b/>
                <w:bCs/>
                <w:color w:val="auto"/>
                <w:spacing w:val="2"/>
                <w:position w:val="2"/>
                <w:sz w:val="24"/>
                <w:szCs w:val="24"/>
                <w:highlight w:val="none"/>
                <w:lang w:val="en-US" w:eastAsia="zh-CN"/>
              </w:rPr>
              <w:t>防超速保护功能：发动机应具备超速保护自动复位功能。按企标规定试验时，发动机应在3秒内自动停止；按企标规定试验时，发动机自动停止后应不需调整防超速保护开关即能启动。</w:t>
            </w:r>
          </w:p>
          <w:p w14:paraId="1C3AA2E1">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6.</w:t>
            </w:r>
            <w:r>
              <w:rPr>
                <w:rFonts w:hint="eastAsia" w:ascii="宋体" w:hAnsi="宋体" w:eastAsia="宋体" w:cs="宋体"/>
                <w:color w:val="auto"/>
                <w:spacing w:val="2"/>
                <w:position w:val="2"/>
                <w:sz w:val="24"/>
                <w:szCs w:val="24"/>
                <w:highlight w:val="none"/>
                <w:lang w:val="en-US" w:eastAsia="zh-CN"/>
              </w:rPr>
              <w:t>吸程（m）：≥10。</w:t>
            </w:r>
          </w:p>
          <w:p w14:paraId="38500FB1">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7.</w:t>
            </w:r>
            <w:r>
              <w:rPr>
                <w:rFonts w:hint="eastAsia" w:ascii="宋体" w:hAnsi="宋体" w:eastAsia="宋体" w:cs="宋体"/>
                <w:color w:val="auto"/>
                <w:spacing w:val="2"/>
                <w:position w:val="2"/>
                <w:sz w:val="24"/>
                <w:szCs w:val="24"/>
                <w:highlight w:val="none"/>
                <w:lang w:val="en-US" w:eastAsia="zh-CN"/>
              </w:rPr>
              <w:t>启动性能：启动时间不超过30秒。电动装置起动电池为锂电池，锂电池与泵组合成为一整体结构，发动机自带充电功能。</w:t>
            </w:r>
          </w:p>
          <w:p w14:paraId="10961B25">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8.</w:t>
            </w:r>
            <w:r>
              <w:rPr>
                <w:rFonts w:hint="eastAsia" w:ascii="宋体" w:hAnsi="宋体" w:eastAsia="宋体" w:cs="宋体"/>
                <w:color w:val="auto"/>
                <w:spacing w:val="2"/>
                <w:position w:val="2"/>
                <w:sz w:val="24"/>
                <w:szCs w:val="24"/>
                <w:highlight w:val="none"/>
                <w:lang w:val="en-US" w:eastAsia="zh-CN"/>
              </w:rPr>
              <w:t>横、纵向倾斜性能：泵组在横向、纵向倾斜90°的条件下，在工况3下各运转1小时，泵应正常工作。</w:t>
            </w:r>
          </w:p>
          <w:p w14:paraId="66C270BA">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9.</w:t>
            </w:r>
            <w:r>
              <w:rPr>
                <w:rFonts w:hint="eastAsia" w:ascii="宋体" w:hAnsi="宋体" w:eastAsia="宋体" w:cs="宋体"/>
                <w:color w:val="auto"/>
                <w:spacing w:val="2"/>
                <w:position w:val="2"/>
                <w:sz w:val="24"/>
                <w:szCs w:val="24"/>
                <w:highlight w:val="none"/>
                <w:lang w:val="en-US" w:eastAsia="zh-CN"/>
              </w:rPr>
              <w:t>串并联性能：泵组之间可以串联架设、并联架设 、并串联架设，并能正常工作。</w:t>
            </w:r>
          </w:p>
          <w:p w14:paraId="463A11C4">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★10.机械要求：1.泵组应按GB6245-2006中10.5进行密封式试验，试验过程中泵体不应有渗漏、冒汗等缺陷。</w:t>
            </w:r>
          </w:p>
          <w:p w14:paraId="743B9697">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13"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color w:val="auto"/>
                <w:spacing w:val="2"/>
                <w:position w:val="2"/>
                <w:sz w:val="24"/>
                <w:szCs w:val="24"/>
                <w:highlight w:val="none"/>
                <w:lang w:val="en-US" w:eastAsia="zh-CN"/>
              </w:rPr>
              <w:t>11.泵组应按照GB6245-2006中10.6进行静水压强度试验，试验过程中泵壳不应有影响性能的变形和裂纹等缺陷。</w:t>
            </w:r>
          </w:p>
        </w:tc>
        <w:tc>
          <w:tcPr>
            <w:tcW w:w="715" w:type="dxa"/>
            <w:noWrap w:val="0"/>
            <w:tcMar>
              <w:top w:w="-1" w:type="dxa"/>
              <w:left w:w="-1" w:type="dxa"/>
              <w:bottom w:w="-1" w:type="dxa"/>
              <w:right w:w="-1" w:type="dxa"/>
            </w:tcMar>
            <w:vAlign w:val="center"/>
          </w:tcPr>
          <w:p w14:paraId="6845ACE5">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13" w:firstLine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w:t>
            </w:r>
          </w:p>
        </w:tc>
        <w:tc>
          <w:tcPr>
            <w:tcW w:w="811" w:type="dxa"/>
            <w:noWrap w:val="0"/>
            <w:tcMar>
              <w:top w:w="-1" w:type="dxa"/>
              <w:left w:w="-1" w:type="dxa"/>
              <w:bottom w:w="-1" w:type="dxa"/>
              <w:right w:w="-1" w:type="dxa"/>
            </w:tcMar>
            <w:vAlign w:val="center"/>
          </w:tcPr>
          <w:p w14:paraId="20B95241">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13" w:firstLine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台</w:t>
            </w:r>
          </w:p>
        </w:tc>
      </w:tr>
      <w:tr w14:paraId="1D4CDF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2" w:hRule="atLeast"/>
        </w:trPr>
        <w:tc>
          <w:tcPr>
            <w:tcW w:w="527" w:type="dxa"/>
            <w:noWrap w:val="0"/>
            <w:tcMar>
              <w:top w:w="-1" w:type="dxa"/>
              <w:left w:w="-1" w:type="dxa"/>
              <w:bottom w:w="-1" w:type="dxa"/>
              <w:right w:w="-1" w:type="dxa"/>
            </w:tcMar>
            <w:vAlign w:val="center"/>
          </w:tcPr>
          <w:p w14:paraId="66BAE743">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w:t>
            </w:r>
          </w:p>
        </w:tc>
        <w:tc>
          <w:tcPr>
            <w:tcW w:w="1032" w:type="dxa"/>
            <w:noWrap w:val="0"/>
            <w:tcMar>
              <w:top w:w="-1" w:type="dxa"/>
              <w:left w:w="-1" w:type="dxa"/>
              <w:bottom w:w="-1" w:type="dxa"/>
              <w:right w:w="-1" w:type="dxa"/>
            </w:tcMar>
            <w:vAlign w:val="center"/>
          </w:tcPr>
          <w:p w14:paraId="5887F1E3">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油锯</w:t>
            </w:r>
          </w:p>
        </w:tc>
        <w:tc>
          <w:tcPr>
            <w:tcW w:w="6378" w:type="dxa"/>
            <w:noWrap w:val="0"/>
            <w:tcMar>
              <w:top w:w="-1" w:type="dxa"/>
              <w:left w:w="-1" w:type="dxa"/>
              <w:bottom w:w="-1" w:type="dxa"/>
              <w:right w:w="-1" w:type="dxa"/>
            </w:tcMar>
            <w:vAlign w:val="top"/>
          </w:tcPr>
          <w:p w14:paraId="2246B1AC">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1.常温起动性能s：≤7。</w:t>
            </w:r>
          </w:p>
          <w:p w14:paraId="576821D5">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★2.净质量kg：＜5.7。</w:t>
            </w:r>
          </w:p>
          <w:p w14:paraId="4A0B9112">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★3.发动机标定功率kW：≥2.48。</w:t>
            </w:r>
          </w:p>
          <w:p w14:paraId="3FC15E48">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b w:val="0"/>
                <w:bCs w:val="0"/>
                <w:color w:val="auto"/>
                <w:spacing w:val="2"/>
                <w:position w:val="2"/>
                <w:sz w:val="24"/>
                <w:szCs w:val="24"/>
                <w:highlight w:val="none"/>
                <w:lang w:val="en-US" w:eastAsia="zh-CN"/>
              </w:rPr>
              <w:t>4.发动机最低燃油消耗率g/kW·h：≤535。</w:t>
            </w:r>
          </w:p>
          <w:p w14:paraId="2AD3614D">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b w:val="0"/>
                <w:bCs w:val="0"/>
                <w:color w:val="auto"/>
                <w:spacing w:val="2"/>
                <w:position w:val="2"/>
                <w:sz w:val="24"/>
                <w:szCs w:val="24"/>
                <w:highlight w:val="none"/>
                <w:lang w:val="en-US" w:eastAsia="zh-CN"/>
              </w:rPr>
              <w:t>5.主机比质量kg/kW：≤2。</w:t>
            </w:r>
          </w:p>
          <w:p w14:paraId="7F613CBF">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snapToGrid w:val="0"/>
                <w:color w:val="auto"/>
                <w:spacing w:val="2"/>
                <w:kern w:val="0"/>
                <w:position w:val="2"/>
                <w:sz w:val="24"/>
                <w:szCs w:val="24"/>
                <w:highlight w:val="none"/>
                <w:lang w:val="en-US" w:eastAsia="zh-CN" w:bidi="ar-SA"/>
              </w:rPr>
              <w:t>6.</w:t>
            </w:r>
            <w:r>
              <w:rPr>
                <w:rFonts w:hint="eastAsia" w:ascii="宋体" w:hAnsi="宋体" w:eastAsia="宋体" w:cs="宋体"/>
                <w:b w:val="0"/>
                <w:bCs w:val="0"/>
                <w:color w:val="auto"/>
                <w:spacing w:val="2"/>
                <w:position w:val="2"/>
                <w:sz w:val="24"/>
                <w:szCs w:val="24"/>
                <w:highlight w:val="none"/>
                <w:lang w:val="en-US" w:eastAsia="zh-CN"/>
              </w:rPr>
              <w:t>锯切效率cm²/s：≥75。</w:t>
            </w:r>
          </w:p>
          <w:p w14:paraId="76978769">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snapToGrid w:val="0"/>
                <w:color w:val="auto"/>
                <w:spacing w:val="2"/>
                <w:kern w:val="0"/>
                <w:position w:val="2"/>
                <w:sz w:val="24"/>
                <w:szCs w:val="24"/>
                <w:highlight w:val="none"/>
                <w:lang w:val="en-US" w:eastAsia="zh-CN" w:bidi="ar-SA"/>
              </w:rPr>
              <w:t>7.</w:t>
            </w:r>
            <w:r>
              <w:rPr>
                <w:rFonts w:hint="eastAsia" w:ascii="宋体" w:hAnsi="宋体" w:eastAsia="宋体" w:cs="宋体"/>
                <w:b w:val="0"/>
                <w:bCs w:val="0"/>
                <w:color w:val="auto"/>
                <w:spacing w:val="2"/>
                <w:position w:val="2"/>
                <w:sz w:val="24"/>
                <w:szCs w:val="24"/>
                <w:highlight w:val="none"/>
                <w:lang w:val="en-US" w:eastAsia="zh-CN"/>
              </w:rPr>
              <w:t>锯切燃油消耗率g/m²：≤59。</w:t>
            </w:r>
          </w:p>
          <w:p w14:paraId="55AAEAEE">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8.怠速性能：怠速不高于标定转速的40%，怠速波动率应不大于实际怠速值的±10%。</w:t>
            </w:r>
          </w:p>
          <w:p w14:paraId="3FD38182">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9.怠速翻转性能：在怠速工况下稳定运转 3min 后进行翻转，各位置停留时间不少于5s，油锯不应熄火。</w:t>
            </w:r>
          </w:p>
          <w:p w14:paraId="1FCC2726">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10.加减速性能：加速稳定性：油锯在怠速下稳定运行30s后，突加油门至节气门全开时不应出现供油或供气不足引起的转速响应迟缓、在3S内达不到最高空载稳定转速或熄火等异常现象。</w:t>
            </w:r>
          </w:p>
          <w:p w14:paraId="5EFD0088">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11.减速稳定性：油锯在最高空载稳定转速下稳定运行 30s 后，突减油门至扳量完全释放状态时不应出现供油或供气不足或过量引起的转速响应过快、在6S内怠速达不到稳定要求或熄火等异常现象。</w:t>
            </w:r>
          </w:p>
          <w:p w14:paraId="74580B72">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12.最高空载稳定转速性能：在最高稳定空载转速下稳定运行 1min后，转速的波动率应不大于±5%。</w:t>
            </w:r>
          </w:p>
          <w:p w14:paraId="5020BC75">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★13.整机密封性：油锯在静置状态下，不应有燃油和锯链润滑油的渗漏。油锯在进行各项试验中和/或完成试验后，其各个部位（润滑油出油口部位除外）不应出现漏气、漏油或渗油现象。</w:t>
            </w:r>
          </w:p>
          <w:p w14:paraId="09C865B1">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14.排气消声器：符合GB/T5392-2017要求。</w:t>
            </w:r>
          </w:p>
          <w:p w14:paraId="727F60F6">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15.手拉起动器：对于耐久期不大于125h的发动机，应保证操作者连续拉动5000次后，起动器仍能正常工作。</w:t>
            </w:r>
          </w:p>
          <w:p w14:paraId="25093650">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16.燃油箱：燃油箱容积应满足油锯以90%~100%标定功率工况工作时，发动机连续工作时间应不小于15min。</w:t>
            </w:r>
          </w:p>
          <w:p w14:paraId="6FA82D53">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17.润滑油箱：润滑油箱容积应满足当油锯以90%~100%标定功率工况工作时，在燃油箱内的燃油用尽后，润滑油箱内仍然有润滑油，且机油泵仍然可以连续正常泵出润滑油。</w:t>
            </w:r>
          </w:p>
          <w:p w14:paraId="701057B1">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★18.耳旁噪声dB (A)：怠速≤85 高速空转≤105满负荷≤103。</w:t>
            </w:r>
          </w:p>
          <w:p w14:paraId="7AA6A7D0">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★19.手把振动m/s²：≤6。</w:t>
            </w:r>
          </w:p>
          <w:p w14:paraId="7AA3AB89">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20.止链销：林用油锯应安装止链销，其尺寸和强度应符合ISO10726的规定，止链销应是可更换的。</w:t>
            </w:r>
          </w:p>
          <w:p w14:paraId="2CE89E8E">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21.手的防护：前手把的防护:在靠近前手把的地方应安装前护手器的尺寸和机械强度应分别符合ISO5653和ISO5634的规定；后手把的防护：在后手把底部的右侧应设有后护手器。后护手器宽度应不小于30mm，后护手器长度应不小于100mm。</w:t>
            </w:r>
          </w:p>
          <w:p w14:paraId="4E4B55A2">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22.插木齿：油锯应具有插木齿。</w:t>
            </w:r>
          </w:p>
          <w:p w14:paraId="317E4446">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23.排屑：油锯的排屑方向应朝向油锯的底平面下方。</w:t>
            </w:r>
          </w:p>
          <w:p w14:paraId="3208AE88">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★24.发动机停机机关：油锯应配置使发动机不借助持续的人力而能迅速停止运转的停机开关。此停机开关应安装在操作者戴防护手套且手握持油锯时，右手可控制位置处。开关的颜色与背景应对比鲜明。</w:t>
            </w:r>
          </w:p>
          <w:p w14:paraId="1A78C413">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25.高温部件防护：符合GB/T5392-2017要求。</w:t>
            </w:r>
          </w:p>
          <w:p w14:paraId="184F5105">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26.油门控制：油门扳机的位置应确保戴防护手套握持油锯后手把时能勾动和松开扳机，其尺寸应满足ISO7914的要求。当油门扳机松开时，应能自动复位到怠速状态。依靠油门扳锁定装置的自动锁定，油门扳机能保持在怠速状态。油门的锁定功能应靠手动设定，且当勾动油门扳机时应能自动解除锁定状态。油门的锁定装置应安装在手握持部位以外，且至少需要两个独立的动作才能启动油门锁。</w:t>
            </w:r>
          </w:p>
          <w:p w14:paraId="743B9048">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b w:val="0"/>
                <w:bCs w:val="0"/>
                <w:color w:val="auto"/>
                <w:spacing w:val="2"/>
                <w:position w:val="2"/>
                <w:sz w:val="24"/>
                <w:szCs w:val="24"/>
                <w:highlight w:val="none"/>
                <w:lang w:val="en-US" w:eastAsia="zh-CN"/>
              </w:rPr>
              <w:t>27.离合器：离合器的性能应保证当发动机以任何低于使用说明书中所标明怠速转速的1.25倍的速度运转时，锯链不运转。</w:t>
            </w:r>
          </w:p>
          <w:p w14:paraId="3EE9AFA2">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28.高压带电部件防护：电路中各高压部件，包括火花塞帽在内，都应合理布置、绝缘良好或进行防护。</w:t>
            </w:r>
          </w:p>
          <w:p w14:paraId="15CD58A8">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29.燃油和机油系统：燃油箱盖应有连接链。燃油箱注油口直径应不小于20mm，机油箱注油口直径应不小于19mm。各油箱开口或油帽应有清晰的标识，各油箱的结构设计应确保油锯在正常工作温度下、工作位置及搬运时，均无漏油现象。油箱注油口周围不应有妨碍加油的其他部件。应能使用漏斗加油。</w:t>
            </w:r>
          </w:p>
          <w:p w14:paraId="64025845">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30.废气排放：发动机废气排放方向应远离处于正常工作位置的操作者的面部。</w:t>
            </w:r>
          </w:p>
          <w:p w14:paraId="65E96A26">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31.锯链润滑：锯切部件应采用自动润滑方式。油锯若装有手动注油泵，其安装位置应保证在正常锯切工位时操作者右手能对其操作。</w:t>
            </w:r>
          </w:p>
          <w:p w14:paraId="2A42271A">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32.锯链张紧：油锯应具有锯链张紧装置。</w:t>
            </w:r>
          </w:p>
          <w:p w14:paraId="31CB984E">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0"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b/>
                <w:bCs/>
                <w:color w:val="auto"/>
                <w:spacing w:val="2"/>
                <w:position w:val="2"/>
                <w:sz w:val="24"/>
                <w:szCs w:val="24"/>
                <w:highlight w:val="none"/>
                <w:lang w:val="en-US" w:eastAsia="zh-CN"/>
              </w:rPr>
              <w:t>★33.标志：符合GB/T5392-2017要求（满足要求）。</w:t>
            </w:r>
          </w:p>
        </w:tc>
        <w:tc>
          <w:tcPr>
            <w:tcW w:w="715" w:type="dxa"/>
            <w:noWrap w:val="0"/>
            <w:tcMar>
              <w:top w:w="-1" w:type="dxa"/>
              <w:left w:w="-1" w:type="dxa"/>
              <w:bottom w:w="-1" w:type="dxa"/>
              <w:right w:w="-1" w:type="dxa"/>
            </w:tcMar>
            <w:vAlign w:val="center"/>
          </w:tcPr>
          <w:p w14:paraId="4B19D662">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20</w:t>
            </w:r>
          </w:p>
        </w:tc>
        <w:tc>
          <w:tcPr>
            <w:tcW w:w="811" w:type="dxa"/>
            <w:noWrap w:val="0"/>
            <w:tcMar>
              <w:top w:w="-1" w:type="dxa"/>
              <w:left w:w="-1" w:type="dxa"/>
              <w:bottom w:w="-1" w:type="dxa"/>
              <w:right w:w="-1" w:type="dxa"/>
            </w:tcMar>
            <w:vAlign w:val="center"/>
          </w:tcPr>
          <w:p w14:paraId="667142AE">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台</w:t>
            </w:r>
          </w:p>
        </w:tc>
      </w:tr>
      <w:tr w14:paraId="70177C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6" w:hRule="atLeast"/>
        </w:trPr>
        <w:tc>
          <w:tcPr>
            <w:tcW w:w="527" w:type="dxa"/>
            <w:noWrap w:val="0"/>
            <w:tcMar>
              <w:top w:w="-1" w:type="dxa"/>
              <w:left w:w="-1" w:type="dxa"/>
              <w:bottom w:w="-1" w:type="dxa"/>
              <w:right w:w="-1" w:type="dxa"/>
            </w:tcMar>
            <w:vAlign w:val="center"/>
          </w:tcPr>
          <w:p w14:paraId="3F3D430C">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w:t>
            </w:r>
          </w:p>
        </w:tc>
        <w:tc>
          <w:tcPr>
            <w:tcW w:w="1032" w:type="dxa"/>
            <w:noWrap w:val="0"/>
            <w:tcMar>
              <w:top w:w="-1" w:type="dxa"/>
              <w:left w:w="-1" w:type="dxa"/>
              <w:bottom w:w="-1" w:type="dxa"/>
              <w:right w:w="-1" w:type="dxa"/>
            </w:tcMar>
            <w:vAlign w:val="center"/>
          </w:tcPr>
          <w:p w14:paraId="7A58C765">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风力灭火机</w:t>
            </w:r>
          </w:p>
        </w:tc>
        <w:tc>
          <w:tcPr>
            <w:tcW w:w="6378" w:type="dxa"/>
            <w:noWrap w:val="0"/>
            <w:tcMar>
              <w:top w:w="-1" w:type="dxa"/>
              <w:left w:w="-1" w:type="dxa"/>
              <w:bottom w:w="-1" w:type="dxa"/>
              <w:right w:w="-1" w:type="dxa"/>
            </w:tcMar>
            <w:vAlign w:val="top"/>
          </w:tcPr>
          <w:p w14:paraId="20430157">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snapToGrid w:val="0"/>
                <w:color w:val="auto"/>
                <w:spacing w:val="2"/>
                <w:kern w:val="0"/>
                <w:position w:val="2"/>
                <w:sz w:val="24"/>
                <w:szCs w:val="24"/>
                <w:highlight w:val="none"/>
                <w:lang w:val="en-US" w:eastAsia="zh-CN" w:bidi="ar-SA"/>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b/>
                <w:bCs/>
                <w:snapToGrid w:val="0"/>
                <w:color w:val="auto"/>
                <w:spacing w:val="2"/>
                <w:kern w:val="0"/>
                <w:position w:val="2"/>
                <w:sz w:val="24"/>
                <w:szCs w:val="24"/>
                <w:highlight w:val="none"/>
                <w:lang w:val="en-US" w:eastAsia="zh-CN" w:bidi="ar-SA"/>
              </w:rPr>
              <w:t>1.有效风力灭火距离m：≥2。</w:t>
            </w:r>
          </w:p>
          <w:p w14:paraId="5785949B">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2.出风口风量m³/s：≥0.4。</w:t>
            </w:r>
          </w:p>
          <w:p w14:paraId="3576DDA0">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3.连续运转可靠性：在标定转速下连续运转首次出现故障时间应不小于5h。5h后转速下降不应超过标定转速的5%。二次起动后应正常工作。</w:t>
            </w:r>
          </w:p>
          <w:p w14:paraId="576AC74B">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snapToGrid w:val="0"/>
                <w:color w:val="auto"/>
                <w:spacing w:val="2"/>
                <w:kern w:val="0"/>
                <w:position w:val="2"/>
                <w:sz w:val="24"/>
                <w:szCs w:val="24"/>
                <w:highlight w:val="none"/>
                <w:lang w:val="en-US" w:eastAsia="zh-CN" w:bidi="ar-SA"/>
              </w:rPr>
            </w:pPr>
            <w:r>
              <w:rPr>
                <w:rFonts w:hint="eastAsia" w:ascii="宋体" w:hAnsi="宋体" w:eastAsia="宋体" w:cs="宋体"/>
                <w:b/>
                <w:bCs/>
                <w:snapToGrid w:val="0"/>
                <w:color w:val="auto"/>
                <w:spacing w:val="2"/>
                <w:kern w:val="0"/>
                <w:position w:val="2"/>
                <w:sz w:val="24"/>
                <w:szCs w:val="24"/>
                <w:highlight w:val="none"/>
                <w:lang w:val="en-US" w:eastAsia="zh-CN" w:bidi="ar-SA"/>
              </w:rPr>
              <w:t>★4.安全防护（不漏油、不漏电）：符合GB/T10280-2008。</w:t>
            </w:r>
          </w:p>
          <w:p w14:paraId="0BE291F0">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snapToGrid w:val="0"/>
                <w:color w:val="auto"/>
                <w:spacing w:val="2"/>
                <w:kern w:val="0"/>
                <w:position w:val="2"/>
                <w:sz w:val="24"/>
                <w:szCs w:val="24"/>
                <w:highlight w:val="none"/>
                <w:lang w:val="en-US" w:eastAsia="zh-CN" w:bidi="ar-SA"/>
              </w:rPr>
            </w:pPr>
            <w:r>
              <w:rPr>
                <w:rFonts w:hint="eastAsia" w:ascii="宋体" w:hAnsi="宋体" w:eastAsia="宋体" w:cs="宋体"/>
                <w:b/>
                <w:bCs/>
                <w:snapToGrid w:val="0"/>
                <w:color w:val="auto"/>
                <w:spacing w:val="2"/>
                <w:kern w:val="0"/>
                <w:position w:val="2"/>
                <w:sz w:val="24"/>
                <w:szCs w:val="24"/>
                <w:highlight w:val="none"/>
                <w:lang w:val="en-US" w:eastAsia="zh-CN" w:bidi="ar-SA"/>
              </w:rPr>
              <w:t>★5.热防护：符合 GB/T10280-2008规定。</w:t>
            </w:r>
          </w:p>
          <w:p w14:paraId="14DCF5A4">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6.常温起动s：≤6。</w:t>
            </w:r>
          </w:p>
          <w:p w14:paraId="66376BC2">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b/>
                <w:bCs/>
                <w:snapToGrid w:val="0"/>
                <w:color w:val="auto"/>
                <w:spacing w:val="2"/>
                <w:kern w:val="0"/>
                <w:position w:val="2"/>
                <w:sz w:val="24"/>
                <w:szCs w:val="24"/>
                <w:highlight w:val="none"/>
                <w:lang w:val="en-US" w:eastAsia="zh-CN" w:bidi="ar-SA"/>
              </w:rPr>
            </w:pPr>
            <w:r>
              <w:rPr>
                <w:rFonts w:hint="eastAsia" w:ascii="宋体" w:hAnsi="宋体" w:eastAsia="宋体" w:cs="宋体"/>
                <w:b/>
                <w:bCs/>
                <w:snapToGrid w:val="0"/>
                <w:color w:val="auto"/>
                <w:spacing w:val="2"/>
                <w:kern w:val="0"/>
                <w:position w:val="2"/>
                <w:sz w:val="24"/>
                <w:szCs w:val="24"/>
                <w:highlight w:val="none"/>
                <w:lang w:val="en-US" w:eastAsia="zh-CN" w:bidi="ar-SA"/>
              </w:rPr>
              <w:t>★7.超速试验：符合 GB/T10280-2008规定。</w:t>
            </w:r>
          </w:p>
          <w:p w14:paraId="5BDECE22">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8.叶轮静平衡试验：符合GB/T10280-2008规定。</w:t>
            </w:r>
          </w:p>
          <w:p w14:paraId="699536F0">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9.整机装配质量：装配正确、完整，运动件运转灵活，不得干涉、阻滞。</w:t>
            </w:r>
          </w:p>
          <w:p w14:paraId="3745F427">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10.翻转试验：标定转速下向前、后、左、右倾斜45°各一次，各位置停留时间不少于10s均能正常工作。</w:t>
            </w:r>
          </w:p>
          <w:p w14:paraId="1CA7212D">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11.发动机功率和标定转速：符合 GB/T10280-2008 规定。</w:t>
            </w:r>
          </w:p>
          <w:p w14:paraId="35F92A15">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12.整机质量kg：≤14。</w:t>
            </w:r>
          </w:p>
          <w:p w14:paraId="178563C3">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13.耳旁噪声dB(A)：≤105。</w:t>
            </w:r>
          </w:p>
          <w:p w14:paraId="3EFDD8D9">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14.手感振动m/s2：≤3.0。</w:t>
            </w:r>
          </w:p>
          <w:p w14:paraId="353B7E60">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15.外观质量：塑料件表面应光滑，无裂缝和缩孔等缺陷；冲压件应完整，无裂纹和毛刺等缺陷；无变形、变色和涂漆件应平整、光滑、颜色均匀、漆面平滑等。</w:t>
            </w:r>
          </w:p>
          <w:p w14:paraId="7821A625">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16.使用说明书：符合GB/T10280-2008规定。</w:t>
            </w:r>
          </w:p>
          <w:p w14:paraId="512976E9">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17.标志与包装：符合GB/T10280-2008规定。</w:t>
            </w:r>
          </w:p>
          <w:p w14:paraId="3544572D">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18.配套发动机：单缸、风冷、二冲程汽油发动机：排量：79.9cc、标示功率：4.2kW/7000r/min、标示扭矩：6.72N・m/5500r/min。</w:t>
            </w:r>
          </w:p>
          <w:p w14:paraId="7847B5E0">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19.最大风速m/s：110（更换风筒）</w:t>
            </w:r>
          </w:p>
          <w:p w14:paraId="6490EB41">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20.净质量kg：≤12。</w:t>
            </w:r>
          </w:p>
          <w:p w14:paraId="46DB156B">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b/>
                <w:bCs/>
                <w:color w:val="auto"/>
                <w:spacing w:val="2"/>
                <w:position w:val="2"/>
                <w:sz w:val="24"/>
                <w:szCs w:val="24"/>
                <w:highlight w:val="none"/>
                <w:lang w:val="en-US" w:eastAsia="zh-CN"/>
              </w:rPr>
              <w:t>▲</w:t>
            </w:r>
            <w:r>
              <w:rPr>
                <w:rFonts w:hint="eastAsia" w:ascii="宋体" w:hAnsi="宋体" w:eastAsia="宋体" w:cs="宋体"/>
                <w:snapToGrid w:val="0"/>
                <w:color w:val="auto"/>
                <w:spacing w:val="2"/>
                <w:kern w:val="0"/>
                <w:position w:val="2"/>
                <w:sz w:val="24"/>
                <w:szCs w:val="24"/>
                <w:highlight w:val="none"/>
                <w:lang w:val="en-US" w:eastAsia="zh-CN" w:bidi="ar-SA"/>
              </w:rPr>
              <w:t>21.一箱油工作时间 min：≥100。</w:t>
            </w:r>
          </w:p>
          <w:p w14:paraId="443D2A75">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textAlignment w:val="baseline"/>
              <w:rPr>
                <w:rFonts w:hint="eastAsia" w:ascii="宋体" w:hAnsi="宋体" w:eastAsia="宋体" w:cs="宋体"/>
                <w:snapToGrid w:val="0"/>
                <w:color w:val="auto"/>
                <w:spacing w:val="2"/>
                <w:kern w:val="0"/>
                <w:position w:val="2"/>
                <w:sz w:val="24"/>
                <w:szCs w:val="24"/>
                <w:highlight w:val="none"/>
                <w:lang w:val="en-US" w:eastAsia="zh-CN" w:bidi="ar-SA"/>
              </w:rPr>
            </w:pPr>
            <w:r>
              <w:rPr>
                <w:rFonts w:hint="eastAsia" w:ascii="宋体" w:hAnsi="宋体" w:eastAsia="宋体" w:cs="宋体"/>
                <w:snapToGrid w:val="0"/>
                <w:color w:val="auto"/>
                <w:spacing w:val="2"/>
                <w:kern w:val="0"/>
                <w:position w:val="2"/>
                <w:sz w:val="24"/>
                <w:szCs w:val="24"/>
                <w:highlight w:val="none"/>
                <w:lang w:val="en-US" w:eastAsia="zh-CN" w:bidi="ar-SA"/>
              </w:rPr>
              <w:t>22.风筒：风筒可伸缩调节，配有静电消除装置；风筒末端采用不锈钢材料。</w:t>
            </w:r>
          </w:p>
          <w:p w14:paraId="53712B96">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leftChars="0" w:right="0" w:rightChars="0" w:firstLine="0" w:firstLineChars="0"/>
              <w:textAlignment w:val="baseline"/>
              <w:rPr>
                <w:rFonts w:hint="eastAsia" w:ascii="宋体" w:hAnsi="宋体" w:eastAsia="宋体" w:cs="宋体"/>
                <w:color w:val="auto"/>
                <w:spacing w:val="2"/>
                <w:position w:val="2"/>
                <w:sz w:val="24"/>
                <w:szCs w:val="24"/>
                <w:highlight w:val="none"/>
                <w:lang w:val="en-US" w:eastAsia="zh-CN"/>
              </w:rPr>
            </w:pPr>
            <w:r>
              <w:rPr>
                <w:rFonts w:hint="eastAsia" w:ascii="宋体" w:hAnsi="宋体" w:eastAsia="宋体" w:cs="宋体"/>
                <w:snapToGrid w:val="0"/>
                <w:color w:val="auto"/>
                <w:spacing w:val="2"/>
                <w:kern w:val="0"/>
                <w:position w:val="2"/>
                <w:sz w:val="24"/>
                <w:szCs w:val="24"/>
                <w:highlight w:val="none"/>
                <w:lang w:val="en-US" w:eastAsia="zh-CN" w:bidi="ar-SA"/>
              </w:rPr>
              <w:t>★23.背带：背带可快速脱离，长度可快速调节；具有6个挂点。</w:t>
            </w:r>
          </w:p>
        </w:tc>
        <w:tc>
          <w:tcPr>
            <w:tcW w:w="715" w:type="dxa"/>
            <w:noWrap w:val="0"/>
            <w:tcMar>
              <w:top w:w="-1" w:type="dxa"/>
              <w:left w:w="-1" w:type="dxa"/>
              <w:bottom w:w="-1" w:type="dxa"/>
              <w:right w:w="-1" w:type="dxa"/>
            </w:tcMar>
            <w:vAlign w:val="center"/>
          </w:tcPr>
          <w:p w14:paraId="7727BBC2">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right="0" w:right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20</w:t>
            </w:r>
          </w:p>
        </w:tc>
        <w:tc>
          <w:tcPr>
            <w:tcW w:w="811" w:type="dxa"/>
            <w:noWrap w:val="0"/>
            <w:tcMar>
              <w:top w:w="-1" w:type="dxa"/>
              <w:left w:w="-1" w:type="dxa"/>
              <w:bottom w:w="-1" w:type="dxa"/>
              <w:right w:w="-1" w:type="dxa"/>
            </w:tcMar>
            <w:vAlign w:val="center"/>
          </w:tcPr>
          <w:p w14:paraId="286BEC2B">
            <w:pPr>
              <w:pStyle w:val="7"/>
              <w:keepNext w:val="0"/>
              <w:keepLines w:val="0"/>
              <w:pageBreakBefore w:val="0"/>
              <w:widowControl/>
              <w:numPr>
                <w:ilvl w:val="0"/>
                <w:numId w:val="0"/>
              </w:numPr>
              <w:kinsoku w:val="0"/>
              <w:wordWrap/>
              <w:overflowPunct/>
              <w:topLinePunct w:val="0"/>
              <w:autoSpaceDE w:val="0"/>
              <w:autoSpaceDN w:val="0"/>
              <w:bidi w:val="0"/>
              <w:adjustRightInd w:val="0"/>
              <w:snapToGrid w:val="0"/>
              <w:spacing w:line="380" w:lineRule="exact"/>
              <w:ind w:left="0" w:right="0" w:rightChars="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台</w:t>
            </w:r>
          </w:p>
        </w:tc>
      </w:tr>
      <w:tr w14:paraId="677040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2" w:hRule="atLeast"/>
        </w:trPr>
        <w:tc>
          <w:tcPr>
            <w:tcW w:w="527" w:type="dxa"/>
            <w:noWrap w:val="0"/>
            <w:tcMar>
              <w:top w:w="-1" w:type="dxa"/>
              <w:left w:w="-1" w:type="dxa"/>
              <w:bottom w:w="-1" w:type="dxa"/>
              <w:right w:w="-1" w:type="dxa"/>
            </w:tcMar>
            <w:vAlign w:val="center"/>
          </w:tcPr>
          <w:p w14:paraId="77D647E2">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w:t>
            </w:r>
          </w:p>
        </w:tc>
        <w:tc>
          <w:tcPr>
            <w:tcW w:w="1032" w:type="dxa"/>
            <w:noWrap w:val="0"/>
            <w:tcMar>
              <w:top w:w="-1" w:type="dxa"/>
              <w:left w:w="-1" w:type="dxa"/>
              <w:bottom w:w="-1" w:type="dxa"/>
              <w:right w:w="-1" w:type="dxa"/>
            </w:tcMar>
            <w:vAlign w:val="center"/>
          </w:tcPr>
          <w:p w14:paraId="3A5B114D">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N95口罩</w:t>
            </w:r>
          </w:p>
        </w:tc>
        <w:tc>
          <w:tcPr>
            <w:tcW w:w="6378" w:type="dxa"/>
            <w:noWrap w:val="0"/>
            <w:tcMar>
              <w:top w:w="-1" w:type="dxa"/>
              <w:left w:w="-1" w:type="dxa"/>
              <w:bottom w:w="-1" w:type="dxa"/>
              <w:right w:w="-1" w:type="dxa"/>
            </w:tcMar>
            <w:vAlign w:val="center"/>
          </w:tcPr>
          <w:p w14:paraId="2F518855">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right="0"/>
              <w:jc w:val="both"/>
              <w:textAlignment w:val="baseline"/>
              <w:rPr>
                <w:rFonts w:hint="eastAsia" w:ascii="宋体" w:hAnsi="宋体" w:eastAsia="宋体" w:cs="宋体"/>
                <w:color w:val="auto"/>
                <w:spacing w:val="2"/>
                <w:sz w:val="24"/>
                <w:szCs w:val="24"/>
                <w:highlight w:val="none"/>
                <w:lang w:eastAsia="zh-CN"/>
              </w:rPr>
            </w:pPr>
            <w:r>
              <w:rPr>
                <w:rFonts w:hint="eastAsia" w:ascii="宋体" w:hAnsi="宋体" w:eastAsia="宋体" w:cs="宋体"/>
                <w:color w:val="auto"/>
                <w:spacing w:val="3"/>
                <w:sz w:val="24"/>
                <w:szCs w:val="24"/>
                <w:highlight w:val="none"/>
                <w:lang w:val="en-US" w:eastAsia="zh-CN"/>
              </w:rPr>
              <w:t>1.</w:t>
            </w:r>
            <w:r>
              <w:rPr>
                <w:rFonts w:hint="eastAsia" w:ascii="宋体" w:hAnsi="宋体" w:eastAsia="宋体" w:cs="宋体"/>
                <w:color w:val="auto"/>
                <w:spacing w:val="3"/>
                <w:sz w:val="24"/>
                <w:szCs w:val="24"/>
                <w:highlight w:val="none"/>
              </w:rPr>
              <w:t>过滤效率≥95%（针对0.3微</w:t>
            </w:r>
            <w:r>
              <w:rPr>
                <w:rFonts w:hint="eastAsia" w:ascii="宋体" w:hAnsi="宋体" w:eastAsia="宋体" w:cs="宋体"/>
                <w:color w:val="auto"/>
                <w:spacing w:val="3"/>
                <w:sz w:val="24"/>
                <w:szCs w:val="24"/>
                <w:highlight w:val="none"/>
                <w:lang w:eastAsia="zh-CN"/>
              </w:rPr>
              <w:t>m</w:t>
            </w:r>
            <w:r>
              <w:rPr>
                <w:rFonts w:hint="eastAsia" w:ascii="宋体" w:hAnsi="宋体" w:eastAsia="宋体" w:cs="宋体"/>
                <w:color w:val="auto"/>
                <w:spacing w:val="3"/>
                <w:sz w:val="24"/>
                <w:szCs w:val="24"/>
                <w:highlight w:val="none"/>
              </w:rPr>
              <w:t>非</w:t>
            </w:r>
            <w:r>
              <w:rPr>
                <w:rFonts w:hint="eastAsia" w:ascii="宋体" w:hAnsi="宋体" w:eastAsia="宋体" w:cs="宋体"/>
                <w:color w:val="auto"/>
                <w:spacing w:val="2"/>
                <w:sz w:val="24"/>
                <w:szCs w:val="24"/>
                <w:highlight w:val="none"/>
              </w:rPr>
              <w:t>油性颗粒）</w:t>
            </w:r>
            <w:r>
              <w:rPr>
                <w:rFonts w:hint="eastAsia" w:ascii="宋体" w:hAnsi="宋体" w:eastAsia="宋体" w:cs="宋体"/>
                <w:color w:val="auto"/>
                <w:spacing w:val="2"/>
                <w:sz w:val="24"/>
                <w:szCs w:val="24"/>
                <w:highlight w:val="none"/>
                <w:lang w:eastAsia="zh-CN"/>
              </w:rPr>
              <w:t>；</w:t>
            </w:r>
          </w:p>
          <w:p w14:paraId="4091F204">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right="0"/>
              <w:jc w:val="both"/>
              <w:textAlignment w:val="baseline"/>
              <w:rPr>
                <w:rFonts w:hint="eastAsia" w:ascii="宋体" w:hAnsi="宋体" w:eastAsia="宋体" w:cs="宋体"/>
                <w:color w:val="auto"/>
                <w:spacing w:val="3"/>
                <w:sz w:val="24"/>
                <w:szCs w:val="24"/>
                <w:highlight w:val="none"/>
                <w:lang w:eastAsia="zh-CN"/>
              </w:rPr>
            </w:pPr>
            <w:r>
              <w:rPr>
                <w:rFonts w:hint="eastAsia" w:ascii="宋体" w:hAnsi="宋体" w:eastAsia="宋体" w:cs="宋体"/>
                <w:color w:val="auto"/>
                <w:spacing w:val="3"/>
                <w:sz w:val="24"/>
                <w:szCs w:val="24"/>
                <w:highlight w:val="none"/>
                <w:lang w:val="en-US" w:eastAsia="zh-CN"/>
              </w:rPr>
              <w:t>2.</w:t>
            </w:r>
            <w:r>
              <w:rPr>
                <w:rFonts w:hint="eastAsia" w:ascii="宋体" w:hAnsi="宋体" w:eastAsia="宋体" w:cs="宋体"/>
                <w:color w:val="auto"/>
                <w:spacing w:val="3"/>
                <w:sz w:val="24"/>
                <w:szCs w:val="24"/>
                <w:highlight w:val="none"/>
              </w:rPr>
              <w:t>呼吸阻力</w:t>
            </w:r>
            <w:r>
              <w:rPr>
                <w:rFonts w:hint="eastAsia" w:ascii="宋体" w:hAnsi="宋体" w:eastAsia="宋体" w:cs="宋体"/>
                <w:color w:val="auto"/>
                <w:spacing w:val="3"/>
                <w:sz w:val="24"/>
                <w:szCs w:val="24"/>
                <w:highlight w:val="none"/>
                <w:lang w:eastAsia="zh-CN"/>
              </w:rPr>
              <w:t>：</w:t>
            </w:r>
            <w:r>
              <w:rPr>
                <w:rFonts w:hint="eastAsia" w:ascii="宋体" w:hAnsi="宋体" w:eastAsia="宋体" w:cs="宋体"/>
                <w:color w:val="auto"/>
                <w:spacing w:val="3"/>
                <w:sz w:val="24"/>
                <w:szCs w:val="24"/>
                <w:highlight w:val="none"/>
              </w:rPr>
              <w:t>吸气≤343</w:t>
            </w:r>
            <w:r>
              <w:rPr>
                <w:rFonts w:hint="eastAsia" w:ascii="宋体" w:hAnsi="宋体" w:eastAsia="宋体" w:cs="宋体"/>
                <w:color w:val="auto"/>
                <w:sz w:val="24"/>
                <w:szCs w:val="24"/>
                <w:highlight w:val="none"/>
              </w:rPr>
              <w:t>Pa</w:t>
            </w:r>
            <w:r>
              <w:rPr>
                <w:rFonts w:hint="eastAsia" w:ascii="宋体" w:hAnsi="宋体" w:eastAsia="宋体" w:cs="宋体"/>
                <w:color w:val="auto"/>
                <w:spacing w:val="3"/>
                <w:sz w:val="24"/>
                <w:szCs w:val="24"/>
                <w:highlight w:val="none"/>
              </w:rPr>
              <w:t>，呼气≤245</w:t>
            </w:r>
            <w:r>
              <w:rPr>
                <w:rFonts w:hint="eastAsia" w:ascii="宋体" w:hAnsi="宋体" w:eastAsia="宋体" w:cs="宋体"/>
                <w:color w:val="auto"/>
                <w:sz w:val="24"/>
                <w:szCs w:val="24"/>
                <w:highlight w:val="none"/>
              </w:rPr>
              <w:t>Pa</w:t>
            </w:r>
            <w:r>
              <w:rPr>
                <w:rFonts w:hint="eastAsia" w:ascii="宋体" w:hAnsi="宋体" w:eastAsia="宋体" w:cs="宋体"/>
                <w:color w:val="auto"/>
                <w:spacing w:val="3"/>
                <w:sz w:val="24"/>
                <w:szCs w:val="24"/>
                <w:highlight w:val="none"/>
              </w:rPr>
              <w:t>）</w:t>
            </w:r>
            <w:r>
              <w:rPr>
                <w:rFonts w:hint="eastAsia" w:ascii="宋体" w:hAnsi="宋体" w:eastAsia="宋体" w:cs="宋体"/>
                <w:color w:val="auto"/>
                <w:spacing w:val="3"/>
                <w:sz w:val="24"/>
                <w:szCs w:val="24"/>
                <w:highlight w:val="none"/>
                <w:lang w:eastAsia="zh-CN"/>
              </w:rPr>
              <w:t>；</w:t>
            </w:r>
          </w:p>
          <w:p w14:paraId="73A45C3C">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right="0"/>
              <w:jc w:val="both"/>
              <w:textAlignment w:val="baseline"/>
              <w:rPr>
                <w:rFonts w:hint="eastAsia" w:ascii="宋体" w:hAnsi="宋体" w:eastAsia="宋体" w:cs="宋体"/>
                <w:color w:val="auto"/>
                <w:spacing w:val="-5"/>
                <w:sz w:val="24"/>
                <w:szCs w:val="24"/>
                <w:highlight w:val="none"/>
                <w:lang w:eastAsia="zh-CN"/>
              </w:rPr>
            </w:pPr>
            <w:r>
              <w:rPr>
                <w:rFonts w:hint="eastAsia" w:ascii="宋体" w:hAnsi="宋体" w:eastAsia="宋体" w:cs="宋体"/>
                <w:color w:val="auto"/>
                <w:spacing w:val="3"/>
                <w:sz w:val="24"/>
                <w:szCs w:val="24"/>
                <w:highlight w:val="none"/>
                <w:lang w:val="en-US" w:eastAsia="zh-CN"/>
              </w:rPr>
              <w:t>3.</w:t>
            </w:r>
            <w:r>
              <w:rPr>
                <w:rFonts w:hint="eastAsia" w:ascii="宋体" w:hAnsi="宋体" w:eastAsia="宋体" w:cs="宋体"/>
                <w:color w:val="auto"/>
                <w:spacing w:val="3"/>
                <w:sz w:val="24"/>
                <w:szCs w:val="24"/>
                <w:highlight w:val="none"/>
              </w:rPr>
              <w:t>尺寸</w:t>
            </w:r>
            <w:r>
              <w:rPr>
                <w:rFonts w:hint="eastAsia" w:ascii="宋体" w:hAnsi="宋体" w:eastAsia="宋体" w:cs="宋体"/>
                <w:color w:val="auto"/>
                <w:spacing w:val="3"/>
                <w:sz w:val="24"/>
                <w:szCs w:val="24"/>
                <w:highlight w:val="none"/>
                <w:lang w:eastAsia="zh-CN"/>
              </w:rPr>
              <w:t>：</w:t>
            </w:r>
            <w:r>
              <w:rPr>
                <w:rFonts w:hint="eastAsia" w:ascii="宋体" w:hAnsi="宋体" w:eastAsia="宋体" w:cs="宋体"/>
                <w:color w:val="auto"/>
                <w:spacing w:val="3"/>
                <w:sz w:val="24"/>
                <w:szCs w:val="24"/>
                <w:highlight w:val="none"/>
              </w:rPr>
              <w:t>横</w:t>
            </w:r>
            <w:r>
              <w:rPr>
                <w:rFonts w:hint="eastAsia" w:ascii="宋体" w:hAnsi="宋体" w:eastAsia="宋体" w:cs="宋体"/>
                <w:color w:val="auto"/>
                <w:spacing w:val="2"/>
                <w:sz w:val="24"/>
                <w:szCs w:val="24"/>
                <w:highlight w:val="none"/>
              </w:rPr>
              <w:t>纵径均≥</w:t>
            </w:r>
            <w:r>
              <w:rPr>
                <w:rFonts w:hint="eastAsia" w:ascii="宋体" w:hAnsi="宋体" w:eastAsia="宋体" w:cs="宋体"/>
                <w:color w:val="auto"/>
                <w:spacing w:val="1"/>
                <w:sz w:val="24"/>
                <w:szCs w:val="24"/>
                <w:highlight w:val="none"/>
              </w:rPr>
              <w:t>14</w:t>
            </w:r>
            <w:r>
              <w:rPr>
                <w:rFonts w:hint="eastAsia" w:ascii="宋体" w:hAnsi="宋体" w:eastAsia="宋体" w:cs="宋体"/>
                <w:color w:val="auto"/>
                <w:sz w:val="24"/>
                <w:szCs w:val="24"/>
                <w:highlight w:val="none"/>
              </w:rPr>
              <w:t>cm</w:t>
            </w:r>
            <w:r>
              <w:rPr>
                <w:rFonts w:hint="eastAsia" w:ascii="宋体" w:hAnsi="宋体" w:eastAsia="宋体" w:cs="宋体"/>
                <w:color w:val="auto"/>
                <w:spacing w:val="-5"/>
                <w:sz w:val="24"/>
                <w:szCs w:val="24"/>
                <w:highlight w:val="none"/>
                <w:lang w:eastAsia="zh-CN"/>
              </w:rPr>
              <w:t>；</w:t>
            </w:r>
          </w:p>
          <w:p w14:paraId="1F29DB74">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both"/>
              <w:textAlignment w:val="baseline"/>
              <w:rPr>
                <w:rFonts w:hint="eastAsia" w:ascii="宋体" w:hAnsi="宋体" w:eastAsia="宋体" w:cs="宋体"/>
                <w:color w:val="auto"/>
                <w:spacing w:val="4"/>
                <w:sz w:val="24"/>
                <w:szCs w:val="24"/>
                <w:highlight w:val="none"/>
              </w:rPr>
            </w:pPr>
            <w:r>
              <w:rPr>
                <w:rFonts w:hint="eastAsia" w:ascii="宋体" w:hAnsi="宋体" w:eastAsia="宋体" w:cs="宋体"/>
                <w:color w:val="auto"/>
                <w:spacing w:val="-5"/>
                <w:sz w:val="24"/>
                <w:szCs w:val="24"/>
                <w:highlight w:val="none"/>
                <w:lang w:val="en-US" w:eastAsia="zh-CN"/>
              </w:rPr>
              <w:t>4.</w:t>
            </w:r>
            <w:r>
              <w:rPr>
                <w:rFonts w:hint="eastAsia" w:ascii="宋体" w:hAnsi="宋体" w:eastAsia="宋体" w:cs="宋体"/>
                <w:color w:val="auto"/>
                <w:spacing w:val="1"/>
                <w:sz w:val="24"/>
                <w:szCs w:val="24"/>
                <w:highlight w:val="none"/>
              </w:rPr>
              <w:t>医用型需额外符合</w:t>
            </w:r>
            <w:r>
              <w:rPr>
                <w:rFonts w:hint="eastAsia" w:ascii="宋体" w:hAnsi="宋体" w:eastAsia="宋体" w:cs="宋体"/>
                <w:color w:val="auto"/>
                <w:sz w:val="24"/>
                <w:szCs w:val="24"/>
                <w:highlight w:val="none"/>
              </w:rPr>
              <w:t>GB</w:t>
            </w:r>
            <w:r>
              <w:rPr>
                <w:rFonts w:hint="eastAsia" w:ascii="宋体" w:hAnsi="宋体" w:eastAsia="宋体" w:cs="宋体"/>
                <w:color w:val="auto"/>
                <w:spacing w:val="1"/>
                <w:sz w:val="24"/>
                <w:szCs w:val="24"/>
                <w:highlight w:val="none"/>
              </w:rPr>
              <w:t>19083-</w:t>
            </w:r>
            <w:r>
              <w:rPr>
                <w:rFonts w:hint="eastAsia" w:ascii="宋体" w:hAnsi="宋体" w:eastAsia="宋体" w:cs="宋体"/>
                <w:color w:val="auto"/>
                <w:spacing w:val="2"/>
                <w:sz w:val="24"/>
                <w:szCs w:val="24"/>
                <w:highlight w:val="none"/>
              </w:rPr>
              <w:t>2010并具备防液体渗透功能。</w:t>
            </w:r>
          </w:p>
        </w:tc>
        <w:tc>
          <w:tcPr>
            <w:tcW w:w="715" w:type="dxa"/>
            <w:noWrap w:val="0"/>
            <w:tcMar>
              <w:top w:w="-1" w:type="dxa"/>
              <w:left w:w="-1" w:type="dxa"/>
              <w:bottom w:w="-1" w:type="dxa"/>
              <w:right w:w="-1" w:type="dxa"/>
            </w:tcMar>
            <w:vAlign w:val="center"/>
          </w:tcPr>
          <w:p w14:paraId="5FDA64B5">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3" w:firstLineChars="0"/>
              <w:jc w:val="center"/>
              <w:textAlignment w:val="baseline"/>
              <w:rPr>
                <w:rFonts w:hint="eastAsia" w:ascii="宋体" w:hAnsi="宋体" w:eastAsia="宋体" w:cs="宋体"/>
                <w:b w:val="0"/>
                <w:bCs w:val="0"/>
                <w:color w:val="auto"/>
                <w:spacing w:val="1"/>
                <w:sz w:val="24"/>
                <w:szCs w:val="24"/>
                <w:highlight w:val="none"/>
                <w:lang w:val="en-US" w:eastAsia="zh-CN"/>
              </w:rPr>
            </w:pPr>
            <w:r>
              <w:rPr>
                <w:rFonts w:hint="eastAsia" w:ascii="宋体" w:hAnsi="宋体" w:eastAsia="宋体" w:cs="宋体"/>
                <w:b w:val="0"/>
                <w:bCs w:val="0"/>
                <w:color w:val="auto"/>
                <w:spacing w:val="1"/>
                <w:sz w:val="24"/>
                <w:szCs w:val="24"/>
                <w:highlight w:val="none"/>
                <w:lang w:val="en-US" w:eastAsia="zh-CN"/>
              </w:rPr>
              <w:t>500</w:t>
            </w:r>
          </w:p>
        </w:tc>
        <w:tc>
          <w:tcPr>
            <w:tcW w:w="811" w:type="dxa"/>
            <w:noWrap w:val="0"/>
            <w:tcMar>
              <w:top w:w="-1" w:type="dxa"/>
              <w:left w:w="-1" w:type="dxa"/>
              <w:bottom w:w="-1" w:type="dxa"/>
              <w:right w:w="-1" w:type="dxa"/>
            </w:tcMar>
            <w:vAlign w:val="center"/>
          </w:tcPr>
          <w:p w14:paraId="1434254D">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3" w:firstLineChars="0"/>
              <w:jc w:val="center"/>
              <w:textAlignment w:val="baseline"/>
              <w:rPr>
                <w:rFonts w:hint="eastAsia" w:ascii="宋体" w:hAnsi="宋体" w:eastAsia="宋体" w:cs="宋体"/>
                <w:b w:val="0"/>
                <w:bCs w:val="0"/>
                <w:color w:val="auto"/>
                <w:spacing w:val="1"/>
                <w:sz w:val="24"/>
                <w:szCs w:val="24"/>
                <w:highlight w:val="none"/>
                <w:lang w:val="en-US" w:eastAsia="zh-CN"/>
              </w:rPr>
            </w:pPr>
            <w:r>
              <w:rPr>
                <w:rFonts w:hint="eastAsia" w:ascii="宋体" w:hAnsi="宋体" w:eastAsia="宋体" w:cs="宋体"/>
                <w:b w:val="0"/>
                <w:bCs w:val="0"/>
                <w:color w:val="auto"/>
                <w:spacing w:val="1"/>
                <w:sz w:val="24"/>
                <w:szCs w:val="24"/>
                <w:highlight w:val="none"/>
                <w:lang w:val="en-US" w:eastAsia="zh-CN"/>
              </w:rPr>
              <w:t>个</w:t>
            </w:r>
          </w:p>
        </w:tc>
      </w:tr>
      <w:tr w14:paraId="60E56F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527" w:type="dxa"/>
            <w:noWrap w:val="0"/>
            <w:tcMar>
              <w:top w:w="-1" w:type="dxa"/>
              <w:left w:w="-1" w:type="dxa"/>
              <w:bottom w:w="-1" w:type="dxa"/>
              <w:right w:w="-1" w:type="dxa"/>
            </w:tcMar>
            <w:vAlign w:val="center"/>
          </w:tcPr>
          <w:p w14:paraId="180B8354">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w:t>
            </w:r>
          </w:p>
        </w:tc>
        <w:tc>
          <w:tcPr>
            <w:tcW w:w="1032" w:type="dxa"/>
            <w:noWrap w:val="0"/>
            <w:tcMar>
              <w:top w:w="-1" w:type="dxa"/>
              <w:left w:w="-1" w:type="dxa"/>
              <w:bottom w:w="-1" w:type="dxa"/>
              <w:right w:w="-1" w:type="dxa"/>
            </w:tcMar>
            <w:vAlign w:val="center"/>
          </w:tcPr>
          <w:p w14:paraId="07D369FC">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对讲机耳机(呼)</w:t>
            </w:r>
          </w:p>
        </w:tc>
        <w:tc>
          <w:tcPr>
            <w:tcW w:w="6378" w:type="dxa"/>
            <w:noWrap w:val="0"/>
            <w:tcMar>
              <w:top w:w="-1" w:type="dxa"/>
              <w:left w:w="-1" w:type="dxa"/>
              <w:bottom w:w="-1" w:type="dxa"/>
              <w:right w:w="-1" w:type="dxa"/>
            </w:tcMar>
            <w:vAlign w:val="center"/>
          </w:tcPr>
          <w:p w14:paraId="735A9C1E">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2"/>
                <w:position w:val="2"/>
                <w:sz w:val="24"/>
                <w:szCs w:val="24"/>
                <w:highlight w:val="none"/>
              </w:rPr>
              <w:t>适配E265/A588/E280/E2</w:t>
            </w:r>
            <w:r>
              <w:rPr>
                <w:rFonts w:hint="eastAsia" w:ascii="宋体" w:hAnsi="宋体" w:eastAsia="宋体" w:cs="宋体"/>
                <w:color w:val="auto"/>
                <w:spacing w:val="1"/>
                <w:position w:val="2"/>
                <w:sz w:val="24"/>
                <w:szCs w:val="24"/>
                <w:highlight w:val="none"/>
              </w:rPr>
              <w:t>60/E266/E286等</w:t>
            </w:r>
            <w:r>
              <w:rPr>
                <w:rFonts w:hint="eastAsia" w:ascii="宋体" w:hAnsi="宋体" w:eastAsia="宋体" w:cs="宋体"/>
                <w:color w:val="auto"/>
                <w:spacing w:val="1"/>
                <w:position w:val="2"/>
                <w:sz w:val="24"/>
                <w:szCs w:val="24"/>
                <w:highlight w:val="none"/>
                <w:lang w:eastAsia="zh-CN"/>
              </w:rPr>
              <w:t>。</w:t>
            </w:r>
          </w:p>
        </w:tc>
        <w:tc>
          <w:tcPr>
            <w:tcW w:w="715" w:type="dxa"/>
            <w:noWrap w:val="0"/>
            <w:tcMar>
              <w:top w:w="-1" w:type="dxa"/>
              <w:left w:w="-1" w:type="dxa"/>
              <w:bottom w:w="-1" w:type="dxa"/>
              <w:right w:w="-1" w:type="dxa"/>
            </w:tcMar>
            <w:vAlign w:val="center"/>
          </w:tcPr>
          <w:p w14:paraId="358ADC72">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50</w:t>
            </w:r>
          </w:p>
        </w:tc>
        <w:tc>
          <w:tcPr>
            <w:tcW w:w="811" w:type="dxa"/>
            <w:noWrap w:val="0"/>
            <w:tcMar>
              <w:top w:w="-1" w:type="dxa"/>
              <w:left w:w="-1" w:type="dxa"/>
              <w:bottom w:w="-1" w:type="dxa"/>
              <w:right w:w="-1" w:type="dxa"/>
            </w:tcMar>
            <w:vAlign w:val="center"/>
          </w:tcPr>
          <w:p w14:paraId="60F68D7D">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center"/>
              <w:textAlignment w:val="baseline"/>
              <w:rPr>
                <w:rFonts w:hint="eastAsia" w:ascii="宋体" w:hAnsi="宋体" w:eastAsia="宋体" w:cs="宋体"/>
                <w:b w:val="0"/>
                <w:bCs w:val="0"/>
                <w:color w:val="auto"/>
                <w:spacing w:val="2"/>
                <w:position w:val="2"/>
                <w:sz w:val="24"/>
                <w:szCs w:val="24"/>
                <w:highlight w:val="none"/>
                <w:lang w:val="en-US" w:eastAsia="zh-CN"/>
              </w:rPr>
            </w:pPr>
            <w:r>
              <w:rPr>
                <w:rFonts w:hint="eastAsia" w:ascii="宋体" w:hAnsi="宋体" w:eastAsia="宋体" w:cs="宋体"/>
                <w:b w:val="0"/>
                <w:bCs w:val="0"/>
                <w:color w:val="auto"/>
                <w:spacing w:val="2"/>
                <w:position w:val="2"/>
                <w:sz w:val="24"/>
                <w:szCs w:val="24"/>
                <w:highlight w:val="none"/>
                <w:lang w:val="en-US" w:eastAsia="zh-CN"/>
              </w:rPr>
              <w:t>个</w:t>
            </w:r>
          </w:p>
        </w:tc>
      </w:tr>
      <w:tr w14:paraId="2C037A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7" w:hRule="atLeast"/>
        </w:trPr>
        <w:tc>
          <w:tcPr>
            <w:tcW w:w="527" w:type="dxa"/>
            <w:noWrap w:val="0"/>
            <w:tcMar>
              <w:top w:w="-1" w:type="dxa"/>
              <w:left w:w="-1" w:type="dxa"/>
              <w:bottom w:w="-1" w:type="dxa"/>
              <w:right w:w="-1" w:type="dxa"/>
            </w:tcMar>
            <w:vAlign w:val="center"/>
          </w:tcPr>
          <w:p w14:paraId="7F64EB33">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w:t>
            </w:r>
          </w:p>
        </w:tc>
        <w:tc>
          <w:tcPr>
            <w:tcW w:w="1032" w:type="dxa"/>
            <w:noWrap w:val="0"/>
            <w:tcMar>
              <w:top w:w="-1" w:type="dxa"/>
              <w:left w:w="-1" w:type="dxa"/>
              <w:bottom w:w="-1" w:type="dxa"/>
              <w:right w:w="-1" w:type="dxa"/>
            </w:tcMar>
            <w:vAlign w:val="center"/>
          </w:tcPr>
          <w:p w14:paraId="14D6B2DF">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冬季保暖被</w:t>
            </w:r>
          </w:p>
        </w:tc>
        <w:tc>
          <w:tcPr>
            <w:tcW w:w="6378" w:type="dxa"/>
            <w:noWrap w:val="0"/>
            <w:tcMar>
              <w:top w:w="-1" w:type="dxa"/>
              <w:left w:w="-1" w:type="dxa"/>
              <w:bottom w:w="-1" w:type="dxa"/>
              <w:right w:w="-1" w:type="dxa"/>
            </w:tcMar>
            <w:vAlign w:val="center"/>
          </w:tcPr>
          <w:p w14:paraId="795B125A">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1.尺寸：2m*2.3m</w:t>
            </w:r>
          </w:p>
          <w:p w14:paraId="26C9E6EF">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2.面料材质：绵绸</w:t>
            </w:r>
          </w:p>
          <w:p w14:paraId="362E97EE">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3.填充物：蚕丝蛋白棉</w:t>
            </w:r>
          </w:p>
          <w:p w14:paraId="26A94930">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4.舒适度：5星级；</w:t>
            </w:r>
          </w:p>
          <w:p w14:paraId="64AFDA63">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5.吸湿度：5星级；</w:t>
            </w:r>
          </w:p>
          <w:p w14:paraId="2B66E04C">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6抗菌度：4星级级；</w:t>
            </w:r>
          </w:p>
          <w:p w14:paraId="21F1D0D9">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7.保暖度：4星级；</w:t>
            </w:r>
          </w:p>
          <w:p w14:paraId="5CC8429E">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8.安全技术要求：GB18401-2010B类；</w:t>
            </w:r>
          </w:p>
          <w:p w14:paraId="209A2777">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9.执行标准：GB/T22796-2009；</w:t>
            </w:r>
          </w:p>
          <w:p w14:paraId="6C0303F6">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both"/>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4"/>
                <w:sz w:val="24"/>
                <w:szCs w:val="24"/>
                <w:highlight w:val="none"/>
                <w:lang w:eastAsia="zh-CN"/>
              </w:rPr>
              <w:t>10.重量：≥4kg。</w:t>
            </w:r>
          </w:p>
        </w:tc>
        <w:tc>
          <w:tcPr>
            <w:tcW w:w="715" w:type="dxa"/>
            <w:noWrap w:val="0"/>
            <w:tcMar>
              <w:top w:w="-1" w:type="dxa"/>
              <w:left w:w="-1" w:type="dxa"/>
              <w:bottom w:w="-1" w:type="dxa"/>
              <w:right w:w="-1" w:type="dxa"/>
            </w:tcMar>
            <w:vAlign w:val="center"/>
          </w:tcPr>
          <w:p w14:paraId="7062A303">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center"/>
              <w:textAlignment w:val="baseline"/>
              <w:rPr>
                <w:rFonts w:hint="eastAsia" w:ascii="宋体" w:hAnsi="宋体" w:eastAsia="宋体" w:cs="宋体"/>
                <w:b w:val="0"/>
                <w:bCs w:val="0"/>
                <w:color w:val="auto"/>
                <w:spacing w:val="1"/>
                <w:position w:val="2"/>
                <w:sz w:val="24"/>
                <w:szCs w:val="24"/>
                <w:highlight w:val="none"/>
                <w:lang w:val="en-US" w:eastAsia="zh-CN"/>
              </w:rPr>
            </w:pPr>
            <w:r>
              <w:rPr>
                <w:rFonts w:hint="eastAsia" w:ascii="宋体" w:hAnsi="宋体" w:eastAsia="宋体" w:cs="宋体"/>
                <w:b w:val="0"/>
                <w:bCs w:val="0"/>
                <w:color w:val="auto"/>
                <w:spacing w:val="1"/>
                <w:position w:val="2"/>
                <w:sz w:val="24"/>
                <w:szCs w:val="24"/>
                <w:highlight w:val="none"/>
                <w:lang w:val="en-US" w:eastAsia="zh-CN"/>
              </w:rPr>
              <w:t>500</w:t>
            </w:r>
          </w:p>
        </w:tc>
        <w:tc>
          <w:tcPr>
            <w:tcW w:w="811" w:type="dxa"/>
            <w:noWrap w:val="0"/>
            <w:tcMar>
              <w:top w:w="-1" w:type="dxa"/>
              <w:left w:w="-1" w:type="dxa"/>
              <w:bottom w:w="-1" w:type="dxa"/>
              <w:right w:w="-1" w:type="dxa"/>
            </w:tcMar>
            <w:vAlign w:val="center"/>
          </w:tcPr>
          <w:p w14:paraId="374087F0">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jc w:val="center"/>
              <w:textAlignment w:val="baseline"/>
              <w:rPr>
                <w:rFonts w:hint="eastAsia" w:ascii="宋体" w:hAnsi="宋体" w:eastAsia="宋体" w:cs="宋体"/>
                <w:b w:val="0"/>
                <w:bCs w:val="0"/>
                <w:color w:val="auto"/>
                <w:spacing w:val="1"/>
                <w:position w:val="2"/>
                <w:sz w:val="24"/>
                <w:szCs w:val="24"/>
                <w:highlight w:val="none"/>
                <w:lang w:val="en-US" w:eastAsia="zh-CN"/>
              </w:rPr>
            </w:pPr>
            <w:r>
              <w:rPr>
                <w:rFonts w:hint="eastAsia" w:ascii="宋体" w:hAnsi="宋体" w:eastAsia="宋体" w:cs="宋体"/>
                <w:b w:val="0"/>
                <w:bCs w:val="0"/>
                <w:color w:val="auto"/>
                <w:spacing w:val="1"/>
                <w:position w:val="2"/>
                <w:sz w:val="24"/>
                <w:szCs w:val="24"/>
                <w:highlight w:val="none"/>
                <w:lang w:val="en-US" w:eastAsia="zh-CN"/>
              </w:rPr>
              <w:t>床</w:t>
            </w:r>
          </w:p>
        </w:tc>
      </w:tr>
      <w:tr w14:paraId="346981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4" w:hRule="atLeast"/>
        </w:trPr>
        <w:tc>
          <w:tcPr>
            <w:tcW w:w="527" w:type="dxa"/>
            <w:noWrap w:val="0"/>
            <w:tcMar>
              <w:top w:w="-1" w:type="dxa"/>
              <w:left w:w="-1" w:type="dxa"/>
              <w:bottom w:w="-1" w:type="dxa"/>
              <w:right w:w="-1" w:type="dxa"/>
            </w:tcMar>
            <w:vAlign w:val="center"/>
          </w:tcPr>
          <w:p w14:paraId="5C9BB4F5">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w:t>
            </w:r>
          </w:p>
        </w:tc>
        <w:tc>
          <w:tcPr>
            <w:tcW w:w="1032" w:type="dxa"/>
            <w:noWrap w:val="0"/>
            <w:tcMar>
              <w:top w:w="-1" w:type="dxa"/>
              <w:left w:w="-1" w:type="dxa"/>
              <w:bottom w:w="-1" w:type="dxa"/>
              <w:right w:w="-1" w:type="dxa"/>
            </w:tcMar>
            <w:vAlign w:val="center"/>
          </w:tcPr>
          <w:p w14:paraId="0F987BF6">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雕花双用珊瑚绒毯</w:t>
            </w:r>
          </w:p>
        </w:tc>
        <w:tc>
          <w:tcPr>
            <w:tcW w:w="6378" w:type="dxa"/>
            <w:noWrap w:val="0"/>
            <w:tcMar>
              <w:top w:w="-1" w:type="dxa"/>
              <w:left w:w="-1" w:type="dxa"/>
              <w:bottom w:w="-1" w:type="dxa"/>
              <w:right w:w="-1" w:type="dxa"/>
            </w:tcMar>
            <w:vAlign w:val="top"/>
          </w:tcPr>
          <w:p w14:paraId="4334CA15">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position w:val="2"/>
                <w:sz w:val="24"/>
                <w:szCs w:val="24"/>
                <w:highlight w:val="none"/>
                <w:lang w:eastAsia="zh-CN"/>
              </w:rPr>
            </w:pPr>
            <w:r>
              <w:rPr>
                <w:rFonts w:hint="eastAsia" w:ascii="宋体" w:hAnsi="宋体" w:eastAsia="宋体" w:cs="宋体"/>
                <w:color w:val="auto"/>
                <w:position w:val="2"/>
                <w:sz w:val="24"/>
                <w:szCs w:val="24"/>
                <w:highlight w:val="none"/>
                <w:lang w:eastAsia="zh-CN"/>
              </w:rPr>
              <w:t>1.尺寸：2m*2.3m</w:t>
            </w:r>
          </w:p>
          <w:p w14:paraId="6A75281E">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position w:val="2"/>
                <w:sz w:val="24"/>
                <w:szCs w:val="24"/>
                <w:highlight w:val="none"/>
                <w:lang w:eastAsia="zh-CN"/>
              </w:rPr>
            </w:pPr>
            <w:r>
              <w:rPr>
                <w:rFonts w:hint="eastAsia" w:ascii="宋体" w:hAnsi="宋体" w:eastAsia="宋体" w:cs="宋体"/>
                <w:color w:val="auto"/>
                <w:position w:val="2"/>
                <w:sz w:val="24"/>
                <w:szCs w:val="24"/>
                <w:highlight w:val="none"/>
                <w:lang w:eastAsia="zh-CN"/>
              </w:rPr>
              <w:t>2.面料材质：100%聚脂纤维绒王2.0</w:t>
            </w:r>
          </w:p>
          <w:p w14:paraId="74BD248F">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position w:val="2"/>
                <w:sz w:val="24"/>
                <w:szCs w:val="24"/>
                <w:highlight w:val="none"/>
                <w:lang w:eastAsia="zh-CN"/>
              </w:rPr>
            </w:pPr>
            <w:r>
              <w:rPr>
                <w:rFonts w:hint="eastAsia" w:ascii="宋体" w:hAnsi="宋体" w:eastAsia="宋体" w:cs="宋体"/>
                <w:color w:val="auto"/>
                <w:position w:val="2"/>
                <w:sz w:val="24"/>
                <w:szCs w:val="24"/>
                <w:highlight w:val="none"/>
                <w:lang w:eastAsia="zh-CN"/>
              </w:rPr>
              <w:t>3.雕花：7D雕花</w:t>
            </w:r>
          </w:p>
          <w:p w14:paraId="1D7E01D7">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position w:val="2"/>
                <w:sz w:val="24"/>
                <w:szCs w:val="24"/>
                <w:highlight w:val="none"/>
                <w:lang w:eastAsia="zh-CN"/>
              </w:rPr>
            </w:pPr>
            <w:r>
              <w:rPr>
                <w:rFonts w:hint="eastAsia" w:ascii="宋体" w:hAnsi="宋体" w:eastAsia="宋体" w:cs="宋体"/>
                <w:color w:val="auto"/>
                <w:position w:val="2"/>
                <w:sz w:val="24"/>
                <w:szCs w:val="24"/>
                <w:highlight w:val="none"/>
                <w:lang w:eastAsia="zh-CN"/>
              </w:rPr>
              <w:t>4.安全技术要求：GB1840B类；</w:t>
            </w:r>
          </w:p>
          <w:p w14:paraId="76EADD3F">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position w:val="2"/>
                <w:sz w:val="24"/>
                <w:szCs w:val="24"/>
                <w:highlight w:val="none"/>
                <w:lang w:eastAsia="zh-CN"/>
              </w:rPr>
            </w:pPr>
            <w:r>
              <w:rPr>
                <w:rFonts w:hint="eastAsia" w:ascii="宋体" w:hAnsi="宋体" w:eastAsia="宋体" w:cs="宋体"/>
                <w:color w:val="auto"/>
                <w:position w:val="2"/>
                <w:sz w:val="24"/>
                <w:szCs w:val="24"/>
                <w:highlight w:val="none"/>
                <w:lang w:eastAsia="zh-CN"/>
              </w:rPr>
              <w:t xml:space="preserve">5.执行标准：GB/T22796-2021；                                                                                                                                                         </w:t>
            </w:r>
          </w:p>
          <w:p w14:paraId="1CF2ABE8">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position w:val="2"/>
                <w:sz w:val="24"/>
                <w:szCs w:val="24"/>
                <w:highlight w:val="none"/>
                <w:lang w:eastAsia="zh-CN"/>
              </w:rPr>
              <w:t>6.重量：≥2.5kg。</w:t>
            </w:r>
          </w:p>
        </w:tc>
        <w:tc>
          <w:tcPr>
            <w:tcW w:w="715" w:type="dxa"/>
            <w:noWrap w:val="0"/>
            <w:tcMar>
              <w:top w:w="-1" w:type="dxa"/>
              <w:left w:w="-1" w:type="dxa"/>
              <w:bottom w:w="-1" w:type="dxa"/>
              <w:right w:w="-1" w:type="dxa"/>
            </w:tcMar>
            <w:vAlign w:val="center"/>
          </w:tcPr>
          <w:p w14:paraId="729C0B82">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pacing w:val="1"/>
                <w:position w:val="2"/>
                <w:sz w:val="24"/>
                <w:szCs w:val="24"/>
                <w:highlight w:val="none"/>
              </w:rPr>
            </w:pPr>
            <w:r>
              <w:rPr>
                <w:rFonts w:hint="eastAsia" w:ascii="宋体" w:hAnsi="宋体" w:eastAsia="宋体" w:cs="宋体"/>
                <w:b w:val="0"/>
                <w:bCs w:val="0"/>
                <w:color w:val="auto"/>
                <w:spacing w:val="1"/>
                <w:position w:val="2"/>
                <w:sz w:val="24"/>
                <w:szCs w:val="24"/>
                <w:highlight w:val="none"/>
                <w:lang w:val="en-US" w:eastAsia="zh-CN"/>
              </w:rPr>
              <w:t>500</w:t>
            </w:r>
          </w:p>
        </w:tc>
        <w:tc>
          <w:tcPr>
            <w:tcW w:w="811" w:type="dxa"/>
            <w:noWrap w:val="0"/>
            <w:tcMar>
              <w:top w:w="-1" w:type="dxa"/>
              <w:left w:w="-1" w:type="dxa"/>
              <w:bottom w:w="-1" w:type="dxa"/>
              <w:right w:w="-1" w:type="dxa"/>
            </w:tcMar>
            <w:vAlign w:val="center"/>
          </w:tcPr>
          <w:p w14:paraId="70907D86">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pacing w:val="1"/>
                <w:position w:val="2"/>
                <w:sz w:val="24"/>
                <w:szCs w:val="24"/>
                <w:highlight w:val="none"/>
              </w:rPr>
            </w:pPr>
            <w:r>
              <w:rPr>
                <w:rFonts w:hint="eastAsia" w:ascii="宋体" w:hAnsi="宋体" w:eastAsia="宋体" w:cs="宋体"/>
                <w:b w:val="0"/>
                <w:bCs w:val="0"/>
                <w:color w:val="auto"/>
                <w:spacing w:val="1"/>
                <w:position w:val="2"/>
                <w:sz w:val="24"/>
                <w:szCs w:val="24"/>
                <w:highlight w:val="none"/>
                <w:lang w:val="en-US" w:eastAsia="zh-CN"/>
              </w:rPr>
              <w:t>床</w:t>
            </w:r>
          </w:p>
        </w:tc>
      </w:tr>
      <w:tr w14:paraId="541A2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9" w:hRule="atLeast"/>
        </w:trPr>
        <w:tc>
          <w:tcPr>
            <w:tcW w:w="527" w:type="dxa"/>
            <w:noWrap w:val="0"/>
            <w:tcMar>
              <w:top w:w="-1" w:type="dxa"/>
              <w:left w:w="-1" w:type="dxa"/>
              <w:bottom w:w="-1" w:type="dxa"/>
              <w:right w:w="-1" w:type="dxa"/>
            </w:tcMar>
            <w:vAlign w:val="center"/>
          </w:tcPr>
          <w:p w14:paraId="7BB16928">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w:t>
            </w:r>
          </w:p>
        </w:tc>
        <w:tc>
          <w:tcPr>
            <w:tcW w:w="1032" w:type="dxa"/>
            <w:noWrap w:val="0"/>
            <w:tcMar>
              <w:top w:w="-1" w:type="dxa"/>
              <w:left w:w="-1" w:type="dxa"/>
              <w:bottom w:w="-1" w:type="dxa"/>
              <w:right w:w="-1" w:type="dxa"/>
            </w:tcMar>
            <w:vAlign w:val="center"/>
          </w:tcPr>
          <w:p w14:paraId="2ED6E447">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夏被</w:t>
            </w:r>
          </w:p>
        </w:tc>
        <w:tc>
          <w:tcPr>
            <w:tcW w:w="6378" w:type="dxa"/>
            <w:noWrap w:val="0"/>
            <w:tcMar>
              <w:top w:w="-1" w:type="dxa"/>
              <w:left w:w="-1" w:type="dxa"/>
              <w:bottom w:w="-1" w:type="dxa"/>
              <w:right w:w="-1" w:type="dxa"/>
            </w:tcMar>
            <w:vAlign w:val="top"/>
          </w:tcPr>
          <w:p w14:paraId="2BB59B4F">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1.尺寸：2m*2.3m</w:t>
            </w:r>
          </w:p>
          <w:p w14:paraId="6165C888">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lang w:eastAsia="zh-CN"/>
              </w:rPr>
            </w:pPr>
            <w:r>
              <w:rPr>
                <w:rFonts w:hint="eastAsia" w:ascii="宋体" w:hAnsi="宋体" w:eastAsia="宋体" w:cs="宋体"/>
                <w:color w:val="auto"/>
                <w:spacing w:val="-1"/>
                <w:sz w:val="24"/>
                <w:szCs w:val="24"/>
                <w:highlight w:val="none"/>
              </w:rPr>
              <w:t>2.面料材质：凉感针织布</w:t>
            </w:r>
            <w:r>
              <w:rPr>
                <w:rFonts w:hint="eastAsia" w:ascii="宋体" w:hAnsi="宋体" w:eastAsia="宋体" w:cs="宋体"/>
                <w:color w:val="auto"/>
                <w:spacing w:val="-1"/>
                <w:sz w:val="24"/>
                <w:szCs w:val="24"/>
                <w:highlight w:val="none"/>
                <w:lang w:eastAsia="zh-CN"/>
              </w:rPr>
              <w:t>；</w:t>
            </w:r>
          </w:p>
          <w:p w14:paraId="3AC3299E">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lang w:eastAsia="zh-CN"/>
              </w:rPr>
            </w:pPr>
            <w:r>
              <w:rPr>
                <w:rFonts w:hint="eastAsia" w:ascii="宋体" w:hAnsi="宋体" w:eastAsia="宋体" w:cs="宋体"/>
                <w:color w:val="auto"/>
                <w:spacing w:val="-1"/>
                <w:sz w:val="24"/>
                <w:szCs w:val="24"/>
                <w:highlight w:val="none"/>
              </w:rPr>
              <w:t>3.填充物：超细纤维丝棉</w:t>
            </w:r>
            <w:r>
              <w:rPr>
                <w:rFonts w:hint="eastAsia" w:ascii="宋体" w:hAnsi="宋体" w:eastAsia="宋体" w:cs="宋体"/>
                <w:color w:val="auto"/>
                <w:spacing w:val="-1"/>
                <w:sz w:val="24"/>
                <w:szCs w:val="24"/>
                <w:highlight w:val="none"/>
                <w:lang w:eastAsia="zh-CN"/>
              </w:rPr>
              <w:t>；</w:t>
            </w:r>
          </w:p>
          <w:p w14:paraId="618FDF4F">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4.PH值：6.0～7.5；</w:t>
            </w:r>
          </w:p>
          <w:p w14:paraId="27A61B39">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lang w:eastAsia="zh-CN"/>
              </w:rPr>
            </w:pPr>
            <w:r>
              <w:rPr>
                <w:rFonts w:hint="eastAsia" w:ascii="宋体" w:hAnsi="宋体" w:eastAsia="宋体" w:cs="宋体"/>
                <w:color w:val="auto"/>
                <w:spacing w:val="-1"/>
                <w:sz w:val="24"/>
                <w:szCs w:val="24"/>
                <w:highlight w:val="none"/>
              </w:rPr>
              <w:t>5.甲醛含量：ND</w:t>
            </w:r>
            <w:r>
              <w:rPr>
                <w:rFonts w:hint="eastAsia" w:ascii="宋体" w:hAnsi="宋体" w:eastAsia="宋体" w:cs="宋体"/>
                <w:color w:val="auto"/>
                <w:spacing w:val="-1"/>
                <w:sz w:val="24"/>
                <w:szCs w:val="24"/>
                <w:highlight w:val="none"/>
                <w:lang w:eastAsia="zh-CN"/>
              </w:rPr>
              <w:t>；</w:t>
            </w:r>
          </w:p>
          <w:p w14:paraId="129010DD">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lang w:eastAsia="zh-CN"/>
              </w:rPr>
            </w:pPr>
            <w:r>
              <w:rPr>
                <w:rFonts w:hint="eastAsia" w:ascii="宋体" w:hAnsi="宋体" w:eastAsia="宋体" w:cs="宋体"/>
                <w:color w:val="auto"/>
                <w:spacing w:val="-1"/>
                <w:sz w:val="24"/>
                <w:szCs w:val="24"/>
                <w:highlight w:val="none"/>
              </w:rPr>
              <w:t>6.可分解致癌芳香异味：无</w:t>
            </w:r>
            <w:r>
              <w:rPr>
                <w:rFonts w:hint="eastAsia" w:ascii="宋体" w:hAnsi="宋体" w:eastAsia="宋体" w:cs="宋体"/>
                <w:color w:val="auto"/>
                <w:spacing w:val="-1"/>
                <w:sz w:val="24"/>
                <w:szCs w:val="24"/>
                <w:highlight w:val="none"/>
                <w:lang w:eastAsia="zh-CN"/>
              </w:rPr>
              <w:t>；</w:t>
            </w:r>
          </w:p>
          <w:p w14:paraId="592285E9">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7.耐汗渍色牢度：≥4-5级；</w:t>
            </w:r>
          </w:p>
          <w:p w14:paraId="76E4FC83">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8.耐水色牢度：≥4-5级；</w:t>
            </w:r>
          </w:p>
          <w:p w14:paraId="0937BBB8">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 xml:space="preserve">9.接触瞬间凉感：≥0.15；                                          </w:t>
            </w:r>
          </w:p>
          <w:p w14:paraId="07D6163E">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10.安全技术要求：GB18401-2010B类；</w:t>
            </w:r>
          </w:p>
          <w:p w14:paraId="5D9B2BB2">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 xml:space="preserve">11.执行标准：GB/T22796-2021；                                            </w:t>
            </w:r>
          </w:p>
          <w:p w14:paraId="40E6B569">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1"/>
                <w:sz w:val="24"/>
                <w:szCs w:val="24"/>
                <w:highlight w:val="none"/>
              </w:rPr>
              <w:t>12.重量：≥1.5kg</w:t>
            </w:r>
            <w:r>
              <w:rPr>
                <w:rFonts w:hint="eastAsia" w:ascii="宋体" w:hAnsi="宋体" w:eastAsia="宋体" w:cs="宋体"/>
                <w:color w:val="auto"/>
                <w:sz w:val="24"/>
                <w:szCs w:val="24"/>
                <w:highlight w:val="none"/>
                <w:lang w:eastAsia="zh-CN"/>
              </w:rPr>
              <w:t>。</w:t>
            </w:r>
          </w:p>
        </w:tc>
        <w:tc>
          <w:tcPr>
            <w:tcW w:w="715" w:type="dxa"/>
            <w:noWrap w:val="0"/>
            <w:tcMar>
              <w:top w:w="-1" w:type="dxa"/>
              <w:left w:w="-1" w:type="dxa"/>
              <w:bottom w:w="-1" w:type="dxa"/>
              <w:right w:w="-1" w:type="dxa"/>
            </w:tcMar>
            <w:vAlign w:val="center"/>
          </w:tcPr>
          <w:p w14:paraId="6253C51B">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pacing w:val="1"/>
                <w:position w:val="2"/>
                <w:sz w:val="24"/>
                <w:szCs w:val="24"/>
                <w:highlight w:val="none"/>
                <w:lang w:val="en-US" w:eastAsia="zh-CN"/>
              </w:rPr>
              <w:t>500</w:t>
            </w:r>
          </w:p>
        </w:tc>
        <w:tc>
          <w:tcPr>
            <w:tcW w:w="811" w:type="dxa"/>
            <w:noWrap w:val="0"/>
            <w:tcMar>
              <w:top w:w="-1" w:type="dxa"/>
              <w:left w:w="-1" w:type="dxa"/>
              <w:bottom w:w="-1" w:type="dxa"/>
              <w:right w:w="-1" w:type="dxa"/>
            </w:tcMar>
            <w:vAlign w:val="center"/>
          </w:tcPr>
          <w:p w14:paraId="0F27BE6D">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pacing w:val="1"/>
                <w:position w:val="2"/>
                <w:sz w:val="24"/>
                <w:szCs w:val="24"/>
                <w:highlight w:val="none"/>
                <w:lang w:val="en-US" w:eastAsia="zh-CN"/>
              </w:rPr>
              <w:t>床</w:t>
            </w:r>
          </w:p>
        </w:tc>
      </w:tr>
      <w:tr w14:paraId="4E9D61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527" w:type="dxa"/>
            <w:noWrap w:val="0"/>
            <w:tcMar>
              <w:top w:w="-1" w:type="dxa"/>
              <w:left w:w="-1" w:type="dxa"/>
              <w:bottom w:w="-1" w:type="dxa"/>
              <w:right w:w="-1" w:type="dxa"/>
            </w:tcMar>
            <w:vAlign w:val="center"/>
          </w:tcPr>
          <w:p w14:paraId="36A399BE">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w:t>
            </w:r>
          </w:p>
        </w:tc>
        <w:tc>
          <w:tcPr>
            <w:tcW w:w="1032" w:type="dxa"/>
            <w:noWrap w:val="0"/>
            <w:tcMar>
              <w:top w:w="-1" w:type="dxa"/>
              <w:left w:w="-1" w:type="dxa"/>
              <w:bottom w:w="-1" w:type="dxa"/>
              <w:right w:w="-1" w:type="dxa"/>
            </w:tcMar>
            <w:vAlign w:val="center"/>
          </w:tcPr>
          <w:p w14:paraId="350DCFDB">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男女通用棉衣</w:t>
            </w:r>
          </w:p>
        </w:tc>
        <w:tc>
          <w:tcPr>
            <w:tcW w:w="6378" w:type="dxa"/>
            <w:noWrap w:val="0"/>
            <w:tcMar>
              <w:top w:w="-1" w:type="dxa"/>
              <w:left w:w="-1" w:type="dxa"/>
              <w:bottom w:w="-1" w:type="dxa"/>
              <w:right w:w="-1" w:type="dxa"/>
            </w:tcMar>
            <w:vAlign w:val="top"/>
          </w:tcPr>
          <w:p w14:paraId="651A8282">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1.面料 100%聚酯纤维</w:t>
            </w:r>
            <w:r>
              <w:rPr>
                <w:rFonts w:hint="eastAsia" w:ascii="宋体" w:hAnsi="宋体" w:eastAsia="宋体" w:cs="宋体"/>
                <w:color w:val="auto"/>
                <w:sz w:val="24"/>
                <w:szCs w:val="24"/>
                <w:highlight w:val="none"/>
                <w:lang w:eastAsia="zh-CN"/>
              </w:rPr>
              <w:t>；</w:t>
            </w:r>
          </w:p>
          <w:p w14:paraId="75847085">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2.里料 100%聚酯纤维</w:t>
            </w:r>
            <w:r>
              <w:rPr>
                <w:rFonts w:hint="eastAsia" w:ascii="宋体" w:hAnsi="宋体" w:eastAsia="宋体" w:cs="宋体"/>
                <w:color w:val="auto"/>
                <w:sz w:val="24"/>
                <w:szCs w:val="24"/>
                <w:highlight w:val="none"/>
                <w:lang w:eastAsia="zh-CN"/>
              </w:rPr>
              <w:t>；</w:t>
            </w:r>
          </w:p>
          <w:p w14:paraId="50A92843">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颜色：藏蓝、灰绿、驼色</w:t>
            </w:r>
            <w:r>
              <w:rPr>
                <w:rFonts w:hint="eastAsia" w:ascii="宋体" w:hAnsi="宋体" w:eastAsia="宋体" w:cs="宋体"/>
                <w:color w:val="auto"/>
                <w:sz w:val="24"/>
                <w:szCs w:val="24"/>
                <w:highlight w:val="none"/>
                <w:lang w:eastAsia="zh-CN"/>
              </w:rPr>
              <w:t>；</w:t>
            </w:r>
          </w:p>
          <w:p w14:paraId="4598DF24">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色差：成品面料色差不低于4级。成品非表面色差不低于3-4级</w:t>
            </w:r>
            <w:r>
              <w:rPr>
                <w:rFonts w:hint="eastAsia" w:ascii="宋体" w:hAnsi="宋体" w:eastAsia="宋体" w:cs="宋体"/>
                <w:color w:val="auto"/>
                <w:sz w:val="24"/>
                <w:szCs w:val="24"/>
                <w:highlight w:val="none"/>
                <w:lang w:eastAsia="zh-CN"/>
              </w:rPr>
              <w:t>；</w:t>
            </w:r>
          </w:p>
          <w:p w14:paraId="6B83AEAC">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填充物：100%聚酯纤维</w:t>
            </w:r>
            <w:r>
              <w:rPr>
                <w:rFonts w:hint="eastAsia" w:ascii="宋体" w:hAnsi="宋体" w:eastAsia="宋体" w:cs="宋体"/>
                <w:color w:val="auto"/>
                <w:sz w:val="24"/>
                <w:szCs w:val="24"/>
                <w:highlight w:val="none"/>
                <w:lang w:eastAsia="zh-CN"/>
              </w:rPr>
              <w:t>；</w:t>
            </w:r>
          </w:p>
          <w:p w14:paraId="0BBCA8B0">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6</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敷衬：领里、袋口各敷衬一层，衬的收缩率应与面料相适宜</w:t>
            </w:r>
            <w:r>
              <w:rPr>
                <w:rFonts w:hint="eastAsia" w:ascii="宋体" w:hAnsi="宋体" w:eastAsia="宋体" w:cs="宋体"/>
                <w:color w:val="auto"/>
                <w:sz w:val="24"/>
                <w:szCs w:val="24"/>
                <w:highlight w:val="none"/>
                <w:lang w:eastAsia="zh-CN"/>
              </w:rPr>
              <w:t>；</w:t>
            </w:r>
          </w:p>
          <w:p w14:paraId="48B9F2EA">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缝制针距：</w:t>
            </w:r>
          </w:p>
          <w:p w14:paraId="53CB93B7">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明线：12 针/3cm～14 针/3cm；</w:t>
            </w:r>
          </w:p>
          <w:p w14:paraId="5AAA5669">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暗线：11针/3cm～13针/3cm；</w:t>
            </w:r>
          </w:p>
          <w:p w14:paraId="3E02B3B1">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绗缝：不少于8针/3cm，绗距不大于10cm，各部位均为经向绗线。</w:t>
            </w:r>
          </w:p>
          <w:p w14:paraId="42F9A3BD">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8</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缝制质量要求：顺直，定位准确，距边宽窄一致，结合牢固，松紧适宜</w:t>
            </w:r>
            <w:r>
              <w:rPr>
                <w:rFonts w:hint="eastAsia" w:ascii="宋体" w:hAnsi="宋体" w:eastAsia="宋体" w:cs="宋体"/>
                <w:color w:val="auto"/>
                <w:sz w:val="24"/>
                <w:szCs w:val="24"/>
                <w:highlight w:val="none"/>
                <w:lang w:eastAsia="zh-CN"/>
              </w:rPr>
              <w:t>；</w:t>
            </w:r>
          </w:p>
          <w:p w14:paraId="0AE13E58">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整烫：各部位熨烫平服、整洁，无烫黄、水渍及亮光；覆粘合衬部位不允许有脱胶、渗胶及起皱</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                                             </w:t>
            </w:r>
          </w:p>
          <w:p w14:paraId="0DCAF5F1">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10.安全技术要求：GB18401-2010；</w:t>
            </w:r>
          </w:p>
          <w:p w14:paraId="369F1A74">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7" w:firstLineChars="0"/>
              <w:textAlignment w:val="baseline"/>
              <w:rPr>
                <w:rFonts w:hint="eastAsia" w:ascii="宋体" w:hAnsi="宋体" w:eastAsia="宋体" w:cs="宋体"/>
                <w:color w:val="auto"/>
                <w:spacing w:val="4"/>
                <w:sz w:val="24"/>
                <w:szCs w:val="24"/>
                <w:highlight w:val="none"/>
              </w:rPr>
            </w:pPr>
            <w:r>
              <w:rPr>
                <w:rFonts w:hint="eastAsia" w:ascii="宋体" w:hAnsi="宋体" w:eastAsia="宋体" w:cs="宋体"/>
                <w:color w:val="auto"/>
                <w:sz w:val="24"/>
                <w:szCs w:val="24"/>
                <w:highlight w:val="none"/>
              </w:rPr>
              <w:t>11.执行标准：GB/T2662-202</w:t>
            </w:r>
            <w:r>
              <w:rPr>
                <w:rFonts w:hint="eastAsia" w:ascii="宋体" w:hAnsi="宋体" w:eastAsia="宋体" w:cs="宋体"/>
                <w:color w:val="auto"/>
                <w:spacing w:val="2"/>
                <w:sz w:val="24"/>
                <w:szCs w:val="24"/>
                <w:highlight w:val="none"/>
              </w:rPr>
              <w:t>。</w:t>
            </w:r>
          </w:p>
        </w:tc>
        <w:tc>
          <w:tcPr>
            <w:tcW w:w="715" w:type="dxa"/>
            <w:noWrap w:val="0"/>
            <w:tcMar>
              <w:top w:w="-1" w:type="dxa"/>
              <w:left w:w="-1" w:type="dxa"/>
              <w:bottom w:w="-1" w:type="dxa"/>
              <w:right w:w="-1" w:type="dxa"/>
            </w:tcMar>
            <w:vAlign w:val="center"/>
          </w:tcPr>
          <w:p w14:paraId="6B3A857E">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snapToGrid w:val="0"/>
                <w:color w:val="auto"/>
                <w:spacing w:val="1"/>
                <w:kern w:val="0"/>
                <w:position w:val="2"/>
                <w:sz w:val="24"/>
                <w:szCs w:val="24"/>
                <w:highlight w:val="none"/>
                <w:lang w:val="en-US" w:eastAsia="zh-CN" w:bidi="ar-SA"/>
              </w:rPr>
            </w:pPr>
            <w:r>
              <w:rPr>
                <w:rFonts w:hint="eastAsia" w:ascii="宋体" w:hAnsi="宋体" w:eastAsia="宋体" w:cs="宋体"/>
                <w:b w:val="0"/>
                <w:bCs w:val="0"/>
                <w:color w:val="auto"/>
                <w:spacing w:val="1"/>
                <w:position w:val="2"/>
                <w:sz w:val="24"/>
                <w:szCs w:val="24"/>
                <w:highlight w:val="none"/>
                <w:lang w:val="en-US" w:eastAsia="zh-CN"/>
              </w:rPr>
              <w:t>500</w:t>
            </w:r>
          </w:p>
        </w:tc>
        <w:tc>
          <w:tcPr>
            <w:tcW w:w="811" w:type="dxa"/>
            <w:noWrap w:val="0"/>
            <w:tcMar>
              <w:top w:w="-1" w:type="dxa"/>
              <w:left w:w="-1" w:type="dxa"/>
              <w:bottom w:w="-1" w:type="dxa"/>
              <w:right w:w="-1" w:type="dxa"/>
            </w:tcMar>
            <w:vAlign w:val="center"/>
          </w:tcPr>
          <w:p w14:paraId="0A060C3F">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snapToGrid w:val="0"/>
                <w:color w:val="auto"/>
                <w:spacing w:val="1"/>
                <w:kern w:val="0"/>
                <w:position w:val="2"/>
                <w:sz w:val="24"/>
                <w:szCs w:val="24"/>
                <w:highlight w:val="none"/>
                <w:lang w:val="en-US" w:eastAsia="zh-CN" w:bidi="ar-SA"/>
              </w:rPr>
            </w:pPr>
            <w:r>
              <w:rPr>
                <w:rFonts w:hint="eastAsia" w:ascii="宋体" w:hAnsi="宋体" w:eastAsia="宋体" w:cs="宋体"/>
                <w:b w:val="0"/>
                <w:bCs w:val="0"/>
                <w:snapToGrid w:val="0"/>
                <w:color w:val="auto"/>
                <w:spacing w:val="1"/>
                <w:kern w:val="0"/>
                <w:position w:val="2"/>
                <w:sz w:val="24"/>
                <w:szCs w:val="24"/>
                <w:highlight w:val="none"/>
                <w:lang w:val="en-US" w:eastAsia="zh-CN" w:bidi="ar-SA"/>
              </w:rPr>
              <w:t>件</w:t>
            </w:r>
          </w:p>
        </w:tc>
      </w:tr>
      <w:tr w14:paraId="2FA37A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1" w:hRule="atLeast"/>
        </w:trPr>
        <w:tc>
          <w:tcPr>
            <w:tcW w:w="527" w:type="dxa"/>
            <w:noWrap w:val="0"/>
            <w:tcMar>
              <w:top w:w="-1" w:type="dxa"/>
              <w:left w:w="-1" w:type="dxa"/>
              <w:bottom w:w="-1" w:type="dxa"/>
              <w:right w:w="-1" w:type="dxa"/>
            </w:tcMar>
            <w:vAlign w:val="center"/>
          </w:tcPr>
          <w:p w14:paraId="0B726849">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w:t>
            </w:r>
          </w:p>
        </w:tc>
        <w:tc>
          <w:tcPr>
            <w:tcW w:w="1032" w:type="dxa"/>
            <w:noWrap w:val="0"/>
            <w:tcMar>
              <w:top w:w="-1" w:type="dxa"/>
              <w:left w:w="-1" w:type="dxa"/>
              <w:bottom w:w="-1" w:type="dxa"/>
              <w:right w:w="-1" w:type="dxa"/>
            </w:tcMar>
            <w:vAlign w:val="center"/>
          </w:tcPr>
          <w:p w14:paraId="1F9CD7B4">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firstLine="0" w:firstLineChars="0"/>
              <w:jc w:val="center"/>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双面绒发热保暖内衣</w:t>
            </w:r>
          </w:p>
        </w:tc>
        <w:tc>
          <w:tcPr>
            <w:tcW w:w="6378" w:type="dxa"/>
            <w:noWrap w:val="0"/>
            <w:tcMar>
              <w:top w:w="-1" w:type="dxa"/>
              <w:left w:w="-1" w:type="dxa"/>
              <w:bottom w:w="-1" w:type="dxa"/>
              <w:right w:w="-1" w:type="dxa"/>
            </w:tcMar>
            <w:vAlign w:val="top"/>
          </w:tcPr>
          <w:p w14:paraId="223DEBEA">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lang w:eastAsia="zh-CN"/>
              </w:rPr>
            </w:pPr>
            <w:r>
              <w:rPr>
                <w:rFonts w:hint="eastAsia" w:ascii="宋体" w:hAnsi="宋体" w:eastAsia="宋体" w:cs="宋体"/>
                <w:color w:val="auto"/>
                <w:spacing w:val="-2"/>
                <w:sz w:val="24"/>
                <w:szCs w:val="24"/>
                <w:highlight w:val="none"/>
              </w:rPr>
              <w:t>1.面料成分：赛得利莱赛尔纤维</w:t>
            </w:r>
            <w:r>
              <w:rPr>
                <w:rFonts w:hint="eastAsia" w:ascii="宋体" w:hAnsi="宋体" w:eastAsia="宋体" w:cs="宋体"/>
                <w:color w:val="auto"/>
                <w:spacing w:val="-2"/>
                <w:sz w:val="24"/>
                <w:szCs w:val="24"/>
                <w:highlight w:val="none"/>
                <w:lang w:eastAsia="zh-CN"/>
              </w:rPr>
              <w:t>；</w:t>
            </w:r>
          </w:p>
          <w:p w14:paraId="702A7F78">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lang w:eastAsia="zh-CN"/>
              </w:rPr>
            </w:pPr>
            <w:r>
              <w:rPr>
                <w:rFonts w:hint="eastAsia" w:ascii="宋体" w:hAnsi="宋体" w:eastAsia="宋体" w:cs="宋体"/>
                <w:color w:val="auto"/>
                <w:spacing w:val="-2"/>
                <w:sz w:val="24"/>
                <w:szCs w:val="24"/>
                <w:highlight w:val="none"/>
              </w:rPr>
              <w:t>2.领口形状：圆领</w:t>
            </w:r>
            <w:r>
              <w:rPr>
                <w:rFonts w:hint="eastAsia" w:ascii="宋体" w:hAnsi="宋体" w:eastAsia="宋体" w:cs="宋体"/>
                <w:color w:val="auto"/>
                <w:spacing w:val="-2"/>
                <w:sz w:val="24"/>
                <w:szCs w:val="24"/>
                <w:highlight w:val="none"/>
                <w:lang w:eastAsia="zh-CN"/>
              </w:rPr>
              <w:t>；</w:t>
            </w:r>
          </w:p>
          <w:p w14:paraId="4107386A">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2"/>
                <w:sz w:val="24"/>
                <w:szCs w:val="24"/>
                <w:highlight w:val="none"/>
              </w:rPr>
              <w:t>3.功能：抗静电、发热、保暖、抗起球</w:t>
            </w:r>
            <w:r>
              <w:rPr>
                <w:rFonts w:hint="eastAsia" w:ascii="宋体" w:hAnsi="宋体" w:eastAsia="宋体" w:cs="宋体"/>
                <w:color w:val="auto"/>
                <w:spacing w:val="-2"/>
                <w:sz w:val="24"/>
                <w:szCs w:val="24"/>
                <w:highlight w:val="none"/>
                <w:lang w:eastAsia="zh-CN"/>
              </w:rPr>
              <w:t>；</w:t>
            </w:r>
            <w:r>
              <w:rPr>
                <w:rFonts w:hint="eastAsia" w:ascii="宋体" w:hAnsi="宋体" w:eastAsia="宋体" w:cs="宋体"/>
                <w:color w:val="auto"/>
                <w:spacing w:val="-2"/>
                <w:sz w:val="24"/>
                <w:szCs w:val="24"/>
                <w:highlight w:val="none"/>
              </w:rPr>
              <w:t xml:space="preserve">                            </w:t>
            </w:r>
          </w:p>
          <w:p w14:paraId="3DA6D010">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2"/>
                <w:sz w:val="24"/>
                <w:szCs w:val="24"/>
                <w:highlight w:val="none"/>
              </w:rPr>
              <w:t>4.PH值：6.0～7.5；</w:t>
            </w:r>
          </w:p>
          <w:p w14:paraId="6D346246">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lang w:eastAsia="zh-CN"/>
              </w:rPr>
            </w:pPr>
            <w:r>
              <w:rPr>
                <w:rFonts w:hint="eastAsia" w:ascii="宋体" w:hAnsi="宋体" w:eastAsia="宋体" w:cs="宋体"/>
                <w:color w:val="auto"/>
                <w:spacing w:val="-2"/>
                <w:sz w:val="24"/>
                <w:szCs w:val="24"/>
                <w:highlight w:val="none"/>
              </w:rPr>
              <w:t>5. 甲醛含量： ND</w:t>
            </w:r>
            <w:r>
              <w:rPr>
                <w:rFonts w:hint="eastAsia" w:ascii="宋体" w:hAnsi="宋体" w:eastAsia="宋体" w:cs="宋体"/>
                <w:color w:val="auto"/>
                <w:spacing w:val="-2"/>
                <w:sz w:val="24"/>
                <w:szCs w:val="24"/>
                <w:highlight w:val="none"/>
                <w:lang w:eastAsia="zh-CN"/>
              </w:rPr>
              <w:t>；</w:t>
            </w:r>
          </w:p>
          <w:p w14:paraId="43E3E1F9">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lang w:eastAsia="zh-CN"/>
              </w:rPr>
            </w:pPr>
            <w:r>
              <w:rPr>
                <w:rFonts w:hint="eastAsia" w:ascii="宋体" w:hAnsi="宋体" w:eastAsia="宋体" w:cs="宋体"/>
                <w:color w:val="auto"/>
                <w:spacing w:val="-2"/>
                <w:sz w:val="24"/>
                <w:szCs w:val="24"/>
                <w:highlight w:val="none"/>
              </w:rPr>
              <w:t>6.可分解致癌芳香异味： 无</w:t>
            </w:r>
            <w:r>
              <w:rPr>
                <w:rFonts w:hint="eastAsia" w:ascii="宋体" w:hAnsi="宋体" w:eastAsia="宋体" w:cs="宋体"/>
                <w:color w:val="auto"/>
                <w:spacing w:val="-2"/>
                <w:sz w:val="24"/>
                <w:szCs w:val="24"/>
                <w:highlight w:val="none"/>
                <w:lang w:eastAsia="zh-CN"/>
              </w:rPr>
              <w:t>；</w:t>
            </w:r>
          </w:p>
          <w:p w14:paraId="733CBECC">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2"/>
                <w:sz w:val="24"/>
                <w:szCs w:val="24"/>
                <w:highlight w:val="none"/>
              </w:rPr>
              <w:t>7.耐汗渍色牢度：≥4-5级；</w:t>
            </w:r>
          </w:p>
          <w:p w14:paraId="0447C5C6">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2"/>
                <w:sz w:val="24"/>
                <w:szCs w:val="24"/>
                <w:highlight w:val="none"/>
              </w:rPr>
              <w:t>8.耐水色牢度：≥4-5级；</w:t>
            </w:r>
          </w:p>
          <w:p w14:paraId="045C6A4A">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2"/>
                <w:sz w:val="24"/>
                <w:szCs w:val="24"/>
                <w:highlight w:val="none"/>
              </w:rPr>
              <w:t xml:space="preserve">9.产品等级：一等品；                                             </w:t>
            </w:r>
          </w:p>
          <w:p w14:paraId="05A475F0">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2"/>
                <w:sz w:val="24"/>
                <w:szCs w:val="24"/>
                <w:highlight w:val="none"/>
              </w:rPr>
            </w:pPr>
            <w:r>
              <w:rPr>
                <w:rFonts w:hint="eastAsia" w:ascii="宋体" w:hAnsi="宋体" w:eastAsia="宋体" w:cs="宋体"/>
                <w:color w:val="auto"/>
                <w:spacing w:val="-2"/>
                <w:sz w:val="24"/>
                <w:szCs w:val="24"/>
                <w:highlight w:val="none"/>
              </w:rPr>
              <w:t>10.安全技术要求：GB18401-2010；</w:t>
            </w:r>
          </w:p>
          <w:p w14:paraId="52C0CC50">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textAlignment w:val="baseline"/>
              <w:rPr>
                <w:rFonts w:hint="eastAsia" w:ascii="宋体" w:hAnsi="宋体" w:eastAsia="宋体" w:cs="宋体"/>
                <w:color w:val="auto"/>
                <w:spacing w:val="4"/>
                <w:sz w:val="24"/>
                <w:szCs w:val="24"/>
                <w:highlight w:val="none"/>
                <w:lang w:eastAsia="zh-CN"/>
              </w:rPr>
            </w:pPr>
            <w:r>
              <w:rPr>
                <w:rFonts w:hint="eastAsia" w:ascii="宋体" w:hAnsi="宋体" w:eastAsia="宋体" w:cs="宋体"/>
                <w:color w:val="auto"/>
                <w:spacing w:val="-2"/>
                <w:sz w:val="24"/>
                <w:szCs w:val="24"/>
                <w:highlight w:val="none"/>
              </w:rPr>
              <w:t>11.执行标准：GB/T8878-2023</w:t>
            </w:r>
            <w:r>
              <w:rPr>
                <w:rFonts w:hint="eastAsia" w:ascii="宋体" w:hAnsi="宋体" w:eastAsia="宋体" w:cs="宋体"/>
                <w:color w:val="auto"/>
                <w:spacing w:val="-2"/>
                <w:sz w:val="24"/>
                <w:szCs w:val="24"/>
                <w:highlight w:val="none"/>
                <w:lang w:eastAsia="zh-CN"/>
              </w:rPr>
              <w:t>。</w:t>
            </w:r>
          </w:p>
        </w:tc>
        <w:tc>
          <w:tcPr>
            <w:tcW w:w="715" w:type="dxa"/>
            <w:noWrap w:val="0"/>
            <w:tcMar>
              <w:top w:w="-1" w:type="dxa"/>
              <w:left w:w="-1" w:type="dxa"/>
              <w:bottom w:w="-1" w:type="dxa"/>
              <w:right w:w="-1" w:type="dxa"/>
            </w:tcMar>
            <w:vAlign w:val="center"/>
          </w:tcPr>
          <w:p w14:paraId="1822E87D">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pacing w:val="-2"/>
                <w:sz w:val="24"/>
                <w:szCs w:val="24"/>
                <w:highlight w:val="none"/>
              </w:rPr>
            </w:pPr>
            <w:r>
              <w:rPr>
                <w:rFonts w:hint="eastAsia" w:ascii="宋体" w:hAnsi="宋体" w:eastAsia="宋体" w:cs="宋体"/>
                <w:b w:val="0"/>
                <w:bCs w:val="0"/>
                <w:color w:val="auto"/>
                <w:spacing w:val="1"/>
                <w:position w:val="2"/>
                <w:sz w:val="24"/>
                <w:szCs w:val="24"/>
                <w:highlight w:val="none"/>
                <w:lang w:val="en-US" w:eastAsia="zh-CN"/>
              </w:rPr>
              <w:t>500</w:t>
            </w:r>
          </w:p>
        </w:tc>
        <w:tc>
          <w:tcPr>
            <w:tcW w:w="811" w:type="dxa"/>
            <w:noWrap w:val="0"/>
            <w:tcMar>
              <w:top w:w="-1" w:type="dxa"/>
              <w:left w:w="-1" w:type="dxa"/>
              <w:bottom w:w="-1" w:type="dxa"/>
              <w:right w:w="-1" w:type="dxa"/>
            </w:tcMar>
            <w:vAlign w:val="center"/>
          </w:tcPr>
          <w:p w14:paraId="7D035854">
            <w:pPr>
              <w:pStyle w:val="7"/>
              <w:keepNext w:val="0"/>
              <w:keepLines w:val="0"/>
              <w:pageBreakBefore w:val="0"/>
              <w:widowControl/>
              <w:kinsoku w:val="0"/>
              <w:wordWrap/>
              <w:overflowPunct/>
              <w:topLinePunct w:val="0"/>
              <w:autoSpaceDE w:val="0"/>
              <w:autoSpaceDN w:val="0"/>
              <w:bidi w:val="0"/>
              <w:adjustRightInd w:val="0"/>
              <w:snapToGrid w:val="0"/>
              <w:spacing w:line="380" w:lineRule="exact"/>
              <w:ind w:left="0" w:leftChars="0" w:right="0" w:rightChars="0"/>
              <w:jc w:val="center"/>
              <w:textAlignment w:val="baseline"/>
              <w:rPr>
                <w:rFonts w:hint="eastAsia" w:ascii="宋体" w:hAnsi="宋体" w:eastAsia="宋体" w:cs="宋体"/>
                <w:b w:val="0"/>
                <w:bCs w:val="0"/>
                <w:color w:val="auto"/>
                <w:spacing w:val="-2"/>
                <w:sz w:val="24"/>
                <w:szCs w:val="24"/>
                <w:highlight w:val="none"/>
              </w:rPr>
            </w:pPr>
            <w:r>
              <w:rPr>
                <w:rFonts w:hint="eastAsia" w:ascii="宋体" w:hAnsi="宋体" w:eastAsia="宋体" w:cs="宋体"/>
                <w:b w:val="0"/>
                <w:bCs w:val="0"/>
                <w:color w:val="auto"/>
                <w:spacing w:val="1"/>
                <w:position w:val="2"/>
                <w:sz w:val="24"/>
                <w:szCs w:val="24"/>
                <w:highlight w:val="none"/>
                <w:lang w:val="en-US" w:eastAsia="zh-CN"/>
              </w:rPr>
              <w:t>套</w:t>
            </w:r>
          </w:p>
        </w:tc>
      </w:tr>
      <w:tr w14:paraId="136D4A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1" w:hRule="atLeast"/>
        </w:trPr>
        <w:tc>
          <w:tcPr>
            <w:tcW w:w="9463" w:type="dxa"/>
            <w:gridSpan w:val="5"/>
            <w:noWrap w:val="0"/>
            <w:tcMar>
              <w:top w:w="-1" w:type="dxa"/>
              <w:left w:w="-1" w:type="dxa"/>
              <w:bottom w:w="-1" w:type="dxa"/>
              <w:right w:w="-1" w:type="dxa"/>
            </w:tcMar>
            <w:vAlign w:val="center"/>
          </w:tcPr>
          <w:p w14:paraId="64813970">
            <w:pPr>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注：</w:t>
            </w:r>
          </w:p>
          <w:p w14:paraId="7FFFAFC9">
            <w:pPr>
              <w:pStyle w:val="10"/>
              <w:widowControl w:val="0"/>
              <w:spacing w:line="340" w:lineRule="exact"/>
              <w:ind w:firstLine="480" w:firstLineChars="200"/>
              <w:jc w:val="both"/>
              <w:outlineLvl w:val="9"/>
              <w:rPr>
                <w:rStyle w:val="5"/>
                <w:rFonts w:hint="eastAsia" w:ascii="宋体" w:hAnsi="宋体" w:eastAsia="宋体" w:cs="宋体"/>
                <w:color w:val="auto"/>
                <w:kern w:val="2"/>
                <w:sz w:val="24"/>
                <w:szCs w:val="24"/>
                <w:highlight w:val="none"/>
                <w:lang w:val="zh-CN" w:eastAsia="zh-CN" w:bidi="ar-SA"/>
              </w:rPr>
            </w:pPr>
            <w:r>
              <w:rPr>
                <w:rStyle w:val="5"/>
                <w:rFonts w:hint="eastAsia" w:ascii="宋体" w:hAnsi="宋体" w:eastAsia="宋体" w:cs="宋体"/>
                <w:color w:val="auto"/>
                <w:kern w:val="2"/>
                <w:sz w:val="24"/>
                <w:szCs w:val="24"/>
                <w:highlight w:val="none"/>
                <w:lang w:val="en-US" w:eastAsia="zh-CN" w:bidi="ar-SA"/>
              </w:rPr>
              <w:t>1、</w:t>
            </w:r>
            <w:r>
              <w:rPr>
                <w:rStyle w:val="5"/>
                <w:rFonts w:hint="eastAsia" w:ascii="宋体" w:hAnsi="宋体" w:eastAsia="宋体" w:cs="宋体"/>
                <w:color w:val="auto"/>
                <w:kern w:val="2"/>
                <w:sz w:val="24"/>
                <w:szCs w:val="24"/>
                <w:highlight w:val="none"/>
                <w:lang w:val="zh-CN" w:eastAsia="zh-CN" w:bidi="ar-SA"/>
              </w:rPr>
              <w:t>样品要求：</w:t>
            </w:r>
            <w:r>
              <w:rPr>
                <w:rStyle w:val="5"/>
                <w:rFonts w:hint="eastAsia" w:ascii="宋体" w:hAnsi="宋体" w:eastAsia="宋体" w:cs="宋体"/>
                <w:color w:val="auto"/>
                <w:kern w:val="2"/>
                <w:sz w:val="24"/>
                <w:szCs w:val="24"/>
                <w:highlight w:val="none"/>
                <w:u w:val="single"/>
                <w:lang w:val="en-US" w:eastAsia="zh-CN" w:bidi="ar-SA"/>
              </w:rPr>
              <w:t xml:space="preserve">序号5救生衣、序号11水泵、序号16冬季保暖被 </w:t>
            </w:r>
            <w:r>
              <w:rPr>
                <w:rStyle w:val="5"/>
                <w:rFonts w:hint="eastAsia" w:ascii="宋体" w:hAnsi="宋体" w:eastAsia="宋体" w:cs="宋体"/>
                <w:color w:val="auto"/>
                <w:kern w:val="2"/>
                <w:sz w:val="24"/>
                <w:szCs w:val="24"/>
                <w:highlight w:val="none"/>
                <w:lang w:val="en-US" w:eastAsia="zh-CN" w:bidi="ar-SA"/>
              </w:rPr>
              <w:t>需要提供样品，</w:t>
            </w:r>
            <w:r>
              <w:rPr>
                <w:rStyle w:val="5"/>
                <w:rFonts w:hint="eastAsia" w:ascii="宋体" w:hAnsi="宋体" w:eastAsia="宋体" w:cs="宋体"/>
                <w:color w:val="auto"/>
                <w:kern w:val="2"/>
                <w:sz w:val="24"/>
                <w:szCs w:val="24"/>
                <w:highlight w:val="none"/>
                <w:lang w:val="zh-CN" w:eastAsia="zh-CN" w:bidi="ar-SA"/>
              </w:rPr>
              <w:t>投标人提供的所有样品（</w:t>
            </w:r>
            <w:r>
              <w:rPr>
                <w:rStyle w:val="5"/>
                <w:rFonts w:hint="eastAsia" w:ascii="宋体" w:hAnsi="宋体" w:cs="宋体"/>
                <w:color w:val="auto"/>
                <w:kern w:val="2"/>
                <w:sz w:val="24"/>
                <w:szCs w:val="24"/>
                <w:highlight w:val="none"/>
                <w:lang w:val="en-US" w:eastAsia="zh-CN" w:bidi="ar-SA"/>
              </w:rPr>
              <w:t>包括</w:t>
            </w:r>
            <w:r>
              <w:rPr>
                <w:rStyle w:val="5"/>
                <w:rFonts w:hint="eastAsia" w:ascii="宋体" w:hAnsi="宋体" w:eastAsia="宋体" w:cs="宋体"/>
                <w:color w:val="auto"/>
                <w:kern w:val="2"/>
                <w:sz w:val="24"/>
                <w:szCs w:val="24"/>
                <w:highlight w:val="none"/>
                <w:lang w:val="zh-CN" w:eastAsia="zh-CN" w:bidi="ar-SA"/>
              </w:rPr>
              <w:t>样品的包装内外）</w:t>
            </w:r>
            <w:r>
              <w:rPr>
                <w:rStyle w:val="5"/>
                <w:rFonts w:hint="eastAsia" w:ascii="宋体" w:hAnsi="宋体" w:eastAsia="宋体" w:cs="宋体"/>
                <w:color w:val="auto"/>
                <w:kern w:val="2"/>
                <w:sz w:val="24"/>
                <w:szCs w:val="24"/>
                <w:highlight w:val="none"/>
                <w:lang w:val="en-US" w:eastAsia="zh-CN" w:bidi="ar-SA"/>
              </w:rPr>
              <w:t>均</w:t>
            </w:r>
            <w:r>
              <w:rPr>
                <w:rStyle w:val="5"/>
                <w:rFonts w:hint="eastAsia" w:ascii="宋体" w:hAnsi="宋体" w:eastAsia="宋体" w:cs="宋体"/>
                <w:color w:val="auto"/>
                <w:kern w:val="2"/>
                <w:sz w:val="24"/>
                <w:szCs w:val="24"/>
                <w:highlight w:val="none"/>
                <w:lang w:val="zh-CN" w:eastAsia="zh-CN" w:bidi="ar-SA"/>
              </w:rPr>
              <w:t>不得出现任何显示投标人名称或体现生产来源等的标记和信息，</w:t>
            </w:r>
            <w:r>
              <w:rPr>
                <w:rStyle w:val="5"/>
                <w:rFonts w:hint="eastAsia" w:ascii="宋体" w:hAnsi="宋体" w:eastAsia="宋体" w:cs="宋体"/>
                <w:color w:val="auto"/>
                <w:kern w:val="2"/>
                <w:sz w:val="24"/>
                <w:szCs w:val="24"/>
                <w:highlight w:val="none"/>
                <w:lang w:val="en-US" w:eastAsia="zh-CN" w:bidi="ar-SA"/>
              </w:rPr>
              <w:t>如有</w:t>
            </w:r>
            <w:r>
              <w:rPr>
                <w:rStyle w:val="5"/>
                <w:rFonts w:hint="eastAsia" w:ascii="宋体" w:hAnsi="宋体" w:eastAsia="宋体" w:cs="宋体"/>
                <w:color w:val="auto"/>
                <w:kern w:val="2"/>
                <w:sz w:val="24"/>
                <w:szCs w:val="24"/>
                <w:highlight w:val="none"/>
                <w:lang w:val="zh-CN" w:eastAsia="zh-CN" w:bidi="ar-SA"/>
              </w:rPr>
              <w:t>不符合上述要求的样品</w:t>
            </w:r>
            <w:r>
              <w:rPr>
                <w:rStyle w:val="5"/>
                <w:rFonts w:hint="eastAsia" w:ascii="宋体" w:hAnsi="宋体" w:cs="宋体"/>
                <w:color w:val="auto"/>
                <w:kern w:val="2"/>
                <w:sz w:val="24"/>
                <w:szCs w:val="24"/>
                <w:highlight w:val="none"/>
                <w:lang w:val="zh-CN" w:eastAsia="zh-CN" w:bidi="ar-SA"/>
              </w:rPr>
              <w:t>，</w:t>
            </w:r>
            <w:r>
              <w:rPr>
                <w:rStyle w:val="5"/>
                <w:rFonts w:hint="eastAsia" w:ascii="宋体" w:hAnsi="宋体" w:eastAsia="宋体" w:cs="宋体"/>
                <w:color w:val="auto"/>
                <w:kern w:val="2"/>
                <w:sz w:val="24"/>
                <w:szCs w:val="24"/>
                <w:highlight w:val="none"/>
                <w:lang w:val="en-US" w:eastAsia="zh-CN" w:bidi="ar-SA"/>
              </w:rPr>
              <w:t>采</w:t>
            </w:r>
            <w:r>
              <w:rPr>
                <w:rStyle w:val="5"/>
                <w:rFonts w:hint="eastAsia" w:ascii="宋体" w:hAnsi="宋体" w:eastAsia="宋体" w:cs="宋体"/>
                <w:color w:val="auto"/>
                <w:kern w:val="2"/>
                <w:sz w:val="24"/>
                <w:szCs w:val="24"/>
                <w:highlight w:val="none"/>
                <w:lang w:val="zh-CN" w:eastAsia="zh-CN" w:bidi="ar-SA"/>
              </w:rPr>
              <w:t>购人或采购代理机构有权拒收。评标中发现提交的样品有不符合招标文件要求的或提供的样品影响评标公正的，视为不合格样品，计0分。投标截止时间前递交至</w:t>
            </w:r>
            <w:r>
              <w:rPr>
                <w:rStyle w:val="5"/>
                <w:rFonts w:hint="eastAsia" w:ascii="宋体" w:hAnsi="宋体" w:eastAsia="宋体" w:cs="宋体"/>
                <w:color w:val="auto"/>
                <w:kern w:val="2"/>
                <w:sz w:val="24"/>
                <w:szCs w:val="24"/>
                <w:highlight w:val="none"/>
                <w:u w:val="single"/>
                <w:lang w:val="en-US" w:eastAsia="zh-CN" w:bidi="ar-SA"/>
              </w:rPr>
              <w:t xml:space="preserve">衡阳市公共资料交易中心开标室1 </w:t>
            </w:r>
            <w:r>
              <w:rPr>
                <w:rStyle w:val="5"/>
                <w:rFonts w:hint="eastAsia" w:ascii="宋体" w:hAnsi="宋体" w:eastAsia="宋体" w:cs="宋体"/>
                <w:color w:val="auto"/>
                <w:kern w:val="2"/>
                <w:sz w:val="24"/>
                <w:szCs w:val="24"/>
                <w:highlight w:val="none"/>
                <w:lang w:val="zh-CN" w:eastAsia="zh-CN" w:bidi="ar-SA"/>
              </w:rPr>
              <w:t>，按照工作人员的要求进行摆放并签字确认。</w:t>
            </w:r>
          </w:p>
          <w:p w14:paraId="5B632221">
            <w:pPr>
              <w:pStyle w:val="10"/>
              <w:widowControl w:val="0"/>
              <w:ind w:firstLine="480" w:firstLineChars="200"/>
              <w:jc w:val="both"/>
              <w:outlineLvl w:val="9"/>
              <w:rPr>
                <w:rFonts w:hint="eastAsia" w:ascii="宋体" w:hAnsi="宋体" w:eastAsia="宋体" w:cs="宋体"/>
                <w:b w:val="0"/>
                <w:bCs w:val="0"/>
                <w:color w:val="auto"/>
                <w:spacing w:val="1"/>
                <w:position w:val="2"/>
                <w:sz w:val="24"/>
                <w:szCs w:val="24"/>
                <w:highlight w:val="none"/>
                <w:lang w:val="en-US" w:eastAsia="zh-CN"/>
              </w:rPr>
            </w:pPr>
            <w:r>
              <w:rPr>
                <w:rStyle w:val="5"/>
                <w:rFonts w:hint="eastAsia" w:ascii="宋体" w:hAnsi="宋体" w:eastAsia="宋体" w:cs="宋体"/>
                <w:color w:val="auto"/>
                <w:kern w:val="2"/>
                <w:sz w:val="24"/>
                <w:szCs w:val="24"/>
                <w:highlight w:val="none"/>
                <w:lang w:val="en-US" w:eastAsia="zh-CN" w:bidi="ar-SA"/>
              </w:rPr>
              <w:t>2、</w:t>
            </w:r>
            <w:r>
              <w:rPr>
                <w:rStyle w:val="5"/>
                <w:rFonts w:hint="eastAsia" w:ascii="宋体" w:hAnsi="宋体" w:eastAsia="宋体" w:cs="宋体"/>
                <w:color w:val="auto"/>
                <w:kern w:val="2"/>
                <w:sz w:val="24"/>
                <w:szCs w:val="24"/>
                <w:highlight w:val="none"/>
                <w:lang w:val="zh-CN" w:eastAsia="zh-CN" w:bidi="ar-SA"/>
              </w:rPr>
              <w:t>样品的保管、封存：评审结束后</w:t>
            </w:r>
            <w:r>
              <w:rPr>
                <w:rStyle w:val="5"/>
                <w:rFonts w:hint="eastAsia" w:ascii="宋体" w:hAnsi="宋体" w:eastAsia="宋体" w:cs="宋体"/>
                <w:color w:val="auto"/>
                <w:kern w:val="2"/>
                <w:sz w:val="24"/>
                <w:szCs w:val="24"/>
                <w:highlight w:val="none"/>
                <w:lang w:val="en-US" w:eastAsia="zh-CN" w:bidi="ar-SA"/>
              </w:rPr>
              <w:t>第一成交人样品</w:t>
            </w:r>
            <w:r>
              <w:rPr>
                <w:rStyle w:val="5"/>
                <w:rFonts w:hint="eastAsia" w:ascii="宋体" w:hAnsi="宋体" w:eastAsia="宋体" w:cs="宋体"/>
                <w:color w:val="auto"/>
                <w:kern w:val="2"/>
                <w:sz w:val="24"/>
                <w:szCs w:val="24"/>
                <w:highlight w:val="none"/>
                <w:lang w:val="zh-CN" w:eastAsia="zh-CN" w:bidi="ar-SA"/>
              </w:rPr>
              <w:t>由</w:t>
            </w:r>
            <w:r>
              <w:rPr>
                <w:rStyle w:val="5"/>
                <w:rFonts w:hint="eastAsia" w:ascii="宋体" w:hAnsi="宋体" w:eastAsia="宋体" w:cs="宋体"/>
                <w:color w:val="auto"/>
                <w:kern w:val="2"/>
                <w:sz w:val="24"/>
                <w:szCs w:val="24"/>
                <w:highlight w:val="none"/>
                <w:lang w:val="en-US" w:eastAsia="zh-CN" w:bidi="ar-SA"/>
              </w:rPr>
              <w:t>采购</w:t>
            </w:r>
            <w:r>
              <w:rPr>
                <w:rStyle w:val="5"/>
                <w:rFonts w:hint="eastAsia" w:ascii="宋体" w:hAnsi="宋体" w:eastAsia="宋体" w:cs="宋体"/>
                <w:color w:val="auto"/>
                <w:kern w:val="2"/>
                <w:sz w:val="24"/>
                <w:szCs w:val="24"/>
                <w:highlight w:val="none"/>
                <w:lang w:val="zh-CN" w:eastAsia="zh-CN" w:bidi="ar-SA"/>
              </w:rPr>
              <w:t>人进行保管、封存，并作为履约验收的参考，</w:t>
            </w:r>
            <w:r>
              <w:rPr>
                <w:rStyle w:val="5"/>
                <w:rFonts w:hint="eastAsia" w:ascii="宋体" w:hAnsi="宋体" w:eastAsia="宋体" w:cs="宋体"/>
                <w:color w:val="auto"/>
                <w:kern w:val="2"/>
                <w:sz w:val="24"/>
                <w:szCs w:val="24"/>
                <w:highlight w:val="none"/>
                <w:lang w:val="en-US" w:eastAsia="zh-CN" w:bidi="ar-SA"/>
              </w:rPr>
              <w:t>其余投标人样品在中标公示结束后7个工作日内退回</w:t>
            </w:r>
            <w:r>
              <w:rPr>
                <w:rStyle w:val="5"/>
                <w:rFonts w:hint="eastAsia" w:ascii="宋体" w:hAnsi="宋体" w:eastAsia="宋体" w:cs="宋体"/>
                <w:color w:val="auto"/>
                <w:kern w:val="2"/>
                <w:sz w:val="24"/>
                <w:szCs w:val="24"/>
                <w:highlight w:val="none"/>
                <w:lang w:val="zh-CN" w:eastAsia="zh-CN" w:bidi="ar-SA"/>
              </w:rPr>
              <w:t>。</w:t>
            </w:r>
          </w:p>
        </w:tc>
      </w:tr>
    </w:tbl>
    <w:p w14:paraId="790DF8B1">
      <w:pPr>
        <w:pStyle w:val="12"/>
        <w:keepNext w:val="0"/>
        <w:keepLines w:val="0"/>
        <w:pageBreakBefore w:val="0"/>
        <w:widowControl w:val="0"/>
        <w:kinsoku/>
        <w:wordWrap/>
        <w:overflowPunct/>
        <w:topLinePunct w:val="0"/>
        <w:autoSpaceDE/>
        <w:autoSpaceDN/>
        <w:bidi w:val="0"/>
        <w:adjustRightInd/>
        <w:snapToGrid/>
        <w:spacing w:line="360" w:lineRule="auto"/>
        <w:jc w:val="both"/>
        <w:rPr>
          <w:rStyle w:val="5"/>
          <w:rFonts w:hint="eastAsia" w:ascii="宋体" w:hAnsi="宋体" w:eastAsia="宋体" w:cs="宋体"/>
          <w:b/>
          <w:color w:val="auto"/>
          <w:kern w:val="2"/>
          <w:sz w:val="24"/>
          <w:szCs w:val="24"/>
          <w:highlight w:val="none"/>
          <w:lang w:val="en-US" w:eastAsia="zh-CN" w:bidi="ar-SA"/>
        </w:rPr>
      </w:pPr>
      <w:r>
        <w:rPr>
          <w:rStyle w:val="5"/>
          <w:rFonts w:hint="eastAsia" w:ascii="宋体" w:hAnsi="宋体" w:eastAsia="宋体" w:cs="宋体"/>
          <w:b/>
          <w:color w:val="auto"/>
          <w:kern w:val="2"/>
          <w:sz w:val="24"/>
          <w:szCs w:val="24"/>
          <w:highlight w:val="none"/>
          <w:lang w:val="en-US" w:eastAsia="zh-CN" w:bidi="ar-SA"/>
        </w:rPr>
        <w:t>三、项目实施要求</w:t>
      </w:r>
    </w:p>
    <w:p w14:paraId="7657B21E">
      <w:pPr>
        <w:pStyle w:val="12"/>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5"/>
          <w:rFonts w:hint="eastAsia" w:ascii="宋体" w:hAnsi="宋体" w:eastAsia="宋体" w:cs="宋体"/>
          <w:b/>
          <w:bCs w:val="0"/>
          <w:color w:val="auto"/>
          <w:kern w:val="2"/>
          <w:sz w:val="24"/>
          <w:szCs w:val="24"/>
          <w:highlight w:val="none"/>
          <w:lang w:val="en-US" w:eastAsia="zh-CN" w:bidi="ar-SA"/>
        </w:rPr>
      </w:pPr>
      <w:r>
        <w:rPr>
          <w:rStyle w:val="5"/>
          <w:rFonts w:hint="eastAsia" w:ascii="宋体" w:hAnsi="宋体" w:eastAsia="宋体" w:cs="宋体"/>
          <w:b/>
          <w:bCs w:val="0"/>
          <w:color w:val="auto"/>
          <w:kern w:val="2"/>
          <w:sz w:val="24"/>
          <w:szCs w:val="24"/>
          <w:highlight w:val="none"/>
          <w:lang w:val="en-US" w:eastAsia="zh-CN" w:bidi="ar-SA"/>
        </w:rPr>
        <w:t>1.本采购项目为交钥匙项目</w:t>
      </w:r>
    </w:p>
    <w:p w14:paraId="7B58052A">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1.1投标人须提供包括完成对项目设施、设备等全部的采购、运输、安装、施工、调试、人员培训以及后期服务等工作，采购人不再支付额外的任何费用。</w:t>
      </w:r>
    </w:p>
    <w:p w14:paraId="29E929A0">
      <w:pPr>
        <w:pStyle w:val="12"/>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5"/>
          <w:rFonts w:hint="eastAsia" w:ascii="宋体" w:hAnsi="宋体" w:eastAsia="宋体" w:cs="宋体"/>
          <w:b/>
          <w:color w:val="auto"/>
          <w:kern w:val="2"/>
          <w:sz w:val="24"/>
          <w:szCs w:val="24"/>
          <w:highlight w:val="none"/>
          <w:lang w:val="en-US" w:eastAsia="zh-CN" w:bidi="ar-SA"/>
        </w:rPr>
      </w:pPr>
      <w:r>
        <w:rPr>
          <w:rStyle w:val="5"/>
          <w:rFonts w:hint="eastAsia" w:ascii="宋体" w:hAnsi="宋体" w:eastAsia="宋体" w:cs="宋体"/>
          <w:b/>
          <w:color w:val="auto"/>
          <w:kern w:val="2"/>
          <w:sz w:val="24"/>
          <w:szCs w:val="24"/>
          <w:highlight w:val="none"/>
          <w:lang w:val="en-US" w:eastAsia="zh-CN" w:bidi="ar-SA"/>
        </w:rPr>
        <w:t>2.产品运输、保管及保险</w:t>
      </w:r>
    </w:p>
    <w:p w14:paraId="16958741">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2.1成交人负责办理将货物运抵本项目交货地点的一切运输、保险等事项，相关费用应包括在投标总价中。</w:t>
      </w:r>
    </w:p>
    <w:p w14:paraId="26B93C28">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2.2成交人负责产品在交货及安装地点的保管，直至项目验收合格。</w:t>
      </w:r>
    </w:p>
    <w:p w14:paraId="5805FB3B">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2.3 成交人负责其派出的施工人员的人身意外保险。</w:t>
      </w:r>
    </w:p>
    <w:p w14:paraId="741CEF60">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2.4 成交人应保证产品包装完整，到达指定的交货地点前未拆封。</w:t>
      </w:r>
    </w:p>
    <w:p w14:paraId="02470ACA">
      <w:pPr>
        <w:pStyle w:val="12"/>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5"/>
          <w:rFonts w:hint="eastAsia" w:ascii="宋体" w:hAnsi="宋体" w:eastAsia="宋体" w:cs="宋体"/>
          <w:b/>
          <w:color w:val="auto"/>
          <w:kern w:val="2"/>
          <w:sz w:val="24"/>
          <w:szCs w:val="24"/>
          <w:highlight w:val="none"/>
          <w:lang w:val="en-US" w:eastAsia="zh-CN" w:bidi="ar-SA"/>
        </w:rPr>
      </w:pPr>
      <w:r>
        <w:rPr>
          <w:rStyle w:val="5"/>
          <w:rFonts w:hint="eastAsia" w:ascii="宋体" w:hAnsi="宋体" w:eastAsia="宋体" w:cs="宋体"/>
          <w:b/>
          <w:color w:val="auto"/>
          <w:kern w:val="2"/>
          <w:sz w:val="24"/>
          <w:szCs w:val="24"/>
          <w:highlight w:val="none"/>
          <w:lang w:val="en-US" w:eastAsia="zh-CN" w:bidi="ar-SA"/>
        </w:rPr>
        <w:t>3.安装调试及施工要求</w:t>
      </w:r>
    </w:p>
    <w:p w14:paraId="01E22E7B">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3.1成交人负责产品免费送货上门、安装调试。安装调试期间所发生一切安全和质量事故及费用均由成交人负担。</w:t>
      </w:r>
    </w:p>
    <w:p w14:paraId="5B27CBB3">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3.2成交人送达产品及进行安装调试，应提前两天以上和采购人取得联系，以便甲方安排验货和配合安装调试等工作。成交人须加强施工的组织管理，所有施工人员须遵守文明安全施工的有关规章制度，持证上岗。交通组织的施工不能影响交通的正常运行。</w:t>
      </w:r>
    </w:p>
    <w:p w14:paraId="6C699A9F">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3.3项目完成之后，成交人应将项目有关的全部资料，包括产品资料、中文操作说明书、技术文档、合格证、质量保修卡及采购人要求的相关资料等全部移交给移交采购人。</w:t>
      </w:r>
    </w:p>
    <w:p w14:paraId="558EAFF0">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3.4 施工过程中产生的一切费用由成交人负责。</w:t>
      </w:r>
    </w:p>
    <w:p w14:paraId="48894E31">
      <w:pPr>
        <w:pStyle w:val="12"/>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5"/>
          <w:rFonts w:hint="eastAsia" w:ascii="宋体" w:hAnsi="宋体" w:eastAsia="宋体" w:cs="宋体"/>
          <w:b/>
          <w:color w:val="auto"/>
          <w:kern w:val="2"/>
          <w:sz w:val="24"/>
          <w:szCs w:val="24"/>
          <w:highlight w:val="none"/>
          <w:lang w:val="en-US" w:eastAsia="zh-CN" w:bidi="ar-SA"/>
        </w:rPr>
      </w:pPr>
      <w:r>
        <w:rPr>
          <w:rStyle w:val="5"/>
          <w:rFonts w:hint="eastAsia" w:ascii="宋体" w:hAnsi="宋体" w:eastAsia="宋体" w:cs="宋体"/>
          <w:b/>
          <w:color w:val="auto"/>
          <w:kern w:val="2"/>
          <w:sz w:val="24"/>
          <w:szCs w:val="24"/>
          <w:highlight w:val="none"/>
          <w:lang w:val="en-US" w:eastAsia="zh-CN" w:bidi="ar-SA"/>
        </w:rPr>
        <w:t>4.售后服务</w:t>
      </w:r>
    </w:p>
    <w:p w14:paraId="3C852054">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4.1技术支持：1）提供7×24小时的技术现场服务；</w:t>
      </w:r>
    </w:p>
    <w:p w14:paraId="4D5DBC3E">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 xml:space="preserve">              2）敏感时期、重大节假日提供技术人员值守服务。</w:t>
      </w:r>
    </w:p>
    <w:p w14:paraId="2AFBB807">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4.2故障响应：1）提供7×24小时的现场故障服务受理；</w:t>
      </w:r>
    </w:p>
    <w:p w14:paraId="6F615298">
      <w:pPr>
        <w:pStyle w:val="12"/>
        <w:keepNext w:val="0"/>
        <w:keepLines w:val="0"/>
        <w:pageBreakBefore w:val="0"/>
        <w:widowControl w:val="0"/>
        <w:kinsoku/>
        <w:wordWrap/>
        <w:overflowPunct/>
        <w:topLinePunct w:val="0"/>
        <w:autoSpaceDE/>
        <w:autoSpaceDN/>
        <w:bidi w:val="0"/>
        <w:adjustRightInd/>
        <w:snapToGrid/>
        <w:spacing w:line="360" w:lineRule="auto"/>
        <w:ind w:left="2395" w:leftChars="1026" w:hanging="240" w:hangingChars="1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2）对重大故障提供7×24小时的现场支援，一般故障提供5×8小时的现场支援。</w:t>
      </w:r>
    </w:p>
    <w:p w14:paraId="6139269B">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4.3备品、备件服务：遇到重大故障，提供货物所需更换的任何备件。</w:t>
      </w:r>
    </w:p>
    <w:p w14:paraId="67623714">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4.4质保期内出现任何质量问题（人为破坏或自然灾害等不可抗力除外），由成交人负责免费更换或维修。质保期满后，无论采购人是否另行选择维保供应商，成交人应及时优惠提供所需的备品备件。</w:t>
      </w:r>
    </w:p>
    <w:p w14:paraId="7FD45D10">
      <w:pPr>
        <w:pStyle w:val="12"/>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5"/>
          <w:rFonts w:hint="eastAsia" w:ascii="宋体" w:hAnsi="宋体" w:eastAsia="宋体" w:cs="宋体"/>
          <w:b/>
          <w:color w:val="auto"/>
          <w:kern w:val="2"/>
          <w:sz w:val="24"/>
          <w:szCs w:val="24"/>
          <w:highlight w:val="none"/>
          <w:lang w:val="en-US" w:eastAsia="zh-CN" w:bidi="ar-SA"/>
        </w:rPr>
      </w:pPr>
      <w:r>
        <w:rPr>
          <w:rStyle w:val="5"/>
          <w:rFonts w:hint="eastAsia" w:ascii="宋体" w:hAnsi="宋体" w:eastAsia="宋体" w:cs="宋体"/>
          <w:b/>
          <w:color w:val="auto"/>
          <w:kern w:val="2"/>
          <w:sz w:val="24"/>
          <w:szCs w:val="24"/>
          <w:highlight w:val="none"/>
          <w:lang w:val="en-US" w:eastAsia="zh-CN" w:bidi="ar-SA"/>
        </w:rPr>
        <w:t>5.培训</w:t>
      </w:r>
    </w:p>
    <w:p w14:paraId="7F4DF675">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5.1成交人在项目安装调试过程中必须对相应操作人员进行相关知识的培训，使之熟练掌握设备的操作使用和日常保养，并且按采购人要求收集好培训资料交采购人存档。</w:t>
      </w:r>
    </w:p>
    <w:p w14:paraId="4A160394">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5.2采购人组织受训人员培训的所有费用（包括但不限于场地、资料、人工等费用）由成交人承担。</w:t>
      </w:r>
    </w:p>
    <w:p w14:paraId="180F3D01">
      <w:pPr>
        <w:pStyle w:val="12"/>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5"/>
          <w:rFonts w:hint="eastAsia" w:ascii="宋体" w:hAnsi="宋体" w:eastAsia="宋体" w:cs="宋体"/>
          <w:b/>
          <w:color w:val="auto"/>
          <w:kern w:val="2"/>
          <w:sz w:val="24"/>
          <w:szCs w:val="24"/>
          <w:highlight w:val="none"/>
          <w:lang w:val="en-US" w:eastAsia="zh-CN" w:bidi="ar-SA"/>
        </w:rPr>
      </w:pPr>
      <w:r>
        <w:rPr>
          <w:rStyle w:val="5"/>
          <w:rFonts w:hint="eastAsia" w:ascii="宋体" w:hAnsi="宋体" w:eastAsia="宋体" w:cs="宋体"/>
          <w:b/>
          <w:color w:val="auto"/>
          <w:kern w:val="2"/>
          <w:sz w:val="24"/>
          <w:szCs w:val="24"/>
          <w:highlight w:val="none"/>
          <w:lang w:val="en-US" w:eastAsia="zh-CN" w:bidi="ar-SA"/>
        </w:rPr>
        <w:t>6.质量保证</w:t>
      </w:r>
    </w:p>
    <w:p w14:paraId="1D0FA2B2">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sz w:val="24"/>
          <w:szCs w:val="24"/>
          <w:highlight w:val="none"/>
          <w:lang w:val="en-US" w:eastAsia="zh-CN"/>
        </w:rPr>
      </w:pPr>
      <w:r>
        <w:rPr>
          <w:rStyle w:val="5"/>
          <w:rFonts w:hint="eastAsia" w:ascii="宋体" w:hAnsi="宋体" w:eastAsia="宋体" w:cs="宋体"/>
          <w:color w:val="auto"/>
          <w:sz w:val="24"/>
          <w:szCs w:val="24"/>
          <w:highlight w:val="none"/>
          <w:lang w:val="en-US" w:eastAsia="zh-CN"/>
        </w:rPr>
        <w:t>6.1成交人</w:t>
      </w:r>
      <w:r>
        <w:rPr>
          <w:rStyle w:val="5"/>
          <w:rFonts w:hint="eastAsia" w:ascii="宋体" w:hAnsi="宋体" w:eastAsia="宋体" w:cs="宋体"/>
          <w:color w:val="auto"/>
          <w:sz w:val="24"/>
          <w:szCs w:val="24"/>
          <w:highlight w:val="none"/>
        </w:rPr>
        <w:t>提供的货物是全新的，并保证所提供的全部货物质量符合本采购需求及采购人所规定的标准。成交人所供货物应符合国家及行业现有相关标准和规范</w:t>
      </w:r>
      <w:r>
        <w:rPr>
          <w:rStyle w:val="5"/>
          <w:rFonts w:hint="eastAsia" w:ascii="宋体" w:hAnsi="宋体" w:eastAsia="宋体" w:cs="宋体"/>
          <w:color w:val="auto"/>
          <w:sz w:val="24"/>
          <w:szCs w:val="24"/>
          <w:highlight w:val="none"/>
          <w:lang w:val="en-US" w:eastAsia="zh-CN"/>
        </w:rPr>
        <w:t>。</w:t>
      </w:r>
    </w:p>
    <w:p w14:paraId="17ACA95E">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sz w:val="24"/>
          <w:szCs w:val="24"/>
          <w:highlight w:val="none"/>
          <w:lang w:val="en-US" w:eastAsia="zh-CN"/>
        </w:rPr>
      </w:pPr>
      <w:r>
        <w:rPr>
          <w:rStyle w:val="5"/>
          <w:rFonts w:hint="eastAsia" w:ascii="宋体" w:hAnsi="宋体" w:eastAsia="宋体" w:cs="宋体"/>
          <w:color w:val="auto"/>
          <w:sz w:val="24"/>
          <w:szCs w:val="24"/>
          <w:highlight w:val="none"/>
          <w:lang w:val="en-US" w:eastAsia="zh-CN"/>
        </w:rPr>
        <w:t xml:space="preserve">6.2 </w:t>
      </w:r>
      <w:r>
        <w:rPr>
          <w:rStyle w:val="5"/>
          <w:rFonts w:hint="eastAsia" w:ascii="宋体" w:hAnsi="宋体" w:eastAsia="宋体" w:cs="宋体"/>
          <w:color w:val="auto"/>
          <w:sz w:val="24"/>
          <w:szCs w:val="24"/>
          <w:highlight w:val="none"/>
        </w:rPr>
        <w:t>质量保证期：一年。质保期从验收合格之日起开始计算。在质保期内出现任何非人为质量问题，</w:t>
      </w:r>
      <w:r>
        <w:rPr>
          <w:rStyle w:val="5"/>
          <w:rFonts w:hint="eastAsia" w:ascii="宋体" w:hAnsi="宋体" w:eastAsia="宋体" w:cs="宋体"/>
          <w:color w:val="auto"/>
          <w:sz w:val="24"/>
          <w:szCs w:val="24"/>
          <w:highlight w:val="none"/>
          <w:lang w:val="en-US" w:eastAsia="zh-CN"/>
        </w:rPr>
        <w:t>成交</w:t>
      </w:r>
      <w:r>
        <w:rPr>
          <w:rStyle w:val="5"/>
          <w:rFonts w:hint="eastAsia" w:ascii="宋体" w:hAnsi="宋体" w:eastAsia="宋体" w:cs="宋体"/>
          <w:color w:val="auto"/>
          <w:sz w:val="24"/>
          <w:szCs w:val="24"/>
          <w:highlight w:val="none"/>
        </w:rPr>
        <w:t>供应商应在接到通知后30分钟内响应，4小时解决响应问题</w:t>
      </w:r>
      <w:r>
        <w:rPr>
          <w:rStyle w:val="5"/>
          <w:rFonts w:hint="eastAsia" w:ascii="宋体" w:hAnsi="宋体" w:eastAsia="宋体" w:cs="宋体"/>
          <w:color w:val="auto"/>
          <w:sz w:val="24"/>
          <w:szCs w:val="24"/>
          <w:highlight w:val="none"/>
          <w:lang w:val="en-US" w:eastAsia="zh-CN"/>
        </w:rPr>
        <w:t>。</w:t>
      </w:r>
    </w:p>
    <w:p w14:paraId="3DC74309">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 xml:space="preserve">6.3 </w:t>
      </w:r>
      <w:r>
        <w:rPr>
          <w:rStyle w:val="5"/>
          <w:rFonts w:hint="eastAsia" w:ascii="宋体" w:hAnsi="宋体" w:eastAsia="宋体" w:cs="宋体"/>
          <w:color w:val="auto"/>
          <w:sz w:val="24"/>
          <w:szCs w:val="24"/>
          <w:highlight w:val="none"/>
        </w:rPr>
        <w:t>按国家有关规定实行产品“三包”；送货上门；本项目所涉及的货物在验收合格之日起</w:t>
      </w:r>
      <w:r>
        <w:rPr>
          <w:rStyle w:val="5"/>
          <w:rFonts w:hint="eastAsia" w:ascii="宋体" w:hAnsi="宋体" w:eastAsia="宋体" w:cs="宋体"/>
          <w:color w:val="auto"/>
          <w:sz w:val="24"/>
          <w:szCs w:val="24"/>
          <w:highlight w:val="none"/>
          <w:lang w:val="en-US" w:eastAsia="zh-CN"/>
        </w:rPr>
        <w:t>90</w:t>
      </w:r>
      <w:r>
        <w:rPr>
          <w:rStyle w:val="5"/>
          <w:rFonts w:hint="eastAsia" w:ascii="宋体" w:hAnsi="宋体" w:eastAsia="宋体" w:cs="宋体"/>
          <w:color w:val="auto"/>
          <w:sz w:val="24"/>
          <w:szCs w:val="24"/>
          <w:highlight w:val="none"/>
        </w:rPr>
        <w:t>天内若发现不合体或不合用的，</w:t>
      </w:r>
      <w:r>
        <w:rPr>
          <w:rStyle w:val="5"/>
          <w:rFonts w:hint="eastAsia" w:ascii="宋体" w:hAnsi="宋体" w:eastAsia="宋体" w:cs="宋体"/>
          <w:color w:val="auto"/>
          <w:sz w:val="24"/>
          <w:szCs w:val="24"/>
          <w:highlight w:val="none"/>
          <w:lang w:val="en-US" w:eastAsia="zh-CN"/>
        </w:rPr>
        <w:t>成交</w:t>
      </w:r>
      <w:r>
        <w:rPr>
          <w:rStyle w:val="5"/>
          <w:rFonts w:hint="eastAsia" w:ascii="宋体" w:hAnsi="宋体" w:eastAsia="宋体" w:cs="宋体"/>
          <w:color w:val="auto"/>
          <w:sz w:val="24"/>
          <w:szCs w:val="24"/>
          <w:highlight w:val="none"/>
        </w:rPr>
        <w:t>人负责上门包修、包换至合身，在货物验收合格之日起质保期内正常使用情况下出现质量问题，</w:t>
      </w:r>
      <w:r>
        <w:rPr>
          <w:rStyle w:val="5"/>
          <w:rFonts w:hint="eastAsia" w:ascii="宋体" w:hAnsi="宋体" w:eastAsia="宋体" w:cs="宋体"/>
          <w:color w:val="auto"/>
          <w:sz w:val="24"/>
          <w:szCs w:val="24"/>
          <w:highlight w:val="none"/>
          <w:lang w:val="en-US" w:eastAsia="zh-CN"/>
        </w:rPr>
        <w:t>成交</w:t>
      </w:r>
      <w:r>
        <w:rPr>
          <w:rStyle w:val="5"/>
          <w:rFonts w:hint="eastAsia" w:ascii="宋体" w:hAnsi="宋体" w:eastAsia="宋体" w:cs="宋体"/>
          <w:color w:val="auto"/>
          <w:sz w:val="24"/>
          <w:szCs w:val="24"/>
          <w:highlight w:val="none"/>
        </w:rPr>
        <w:t>人负责包修包换</w:t>
      </w:r>
      <w:r>
        <w:rPr>
          <w:rStyle w:val="5"/>
          <w:rFonts w:hint="eastAsia" w:ascii="宋体" w:hAnsi="宋体" w:eastAsia="宋体" w:cs="宋体"/>
          <w:color w:val="auto"/>
          <w:kern w:val="2"/>
          <w:sz w:val="24"/>
          <w:szCs w:val="24"/>
          <w:highlight w:val="none"/>
          <w:lang w:val="en-US" w:eastAsia="zh-CN" w:bidi="ar-SA"/>
        </w:rPr>
        <w:t>。</w:t>
      </w:r>
    </w:p>
    <w:p w14:paraId="7FE07FC6">
      <w:pPr>
        <w:pStyle w:val="12"/>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5"/>
          <w:rFonts w:hint="eastAsia" w:ascii="宋体" w:hAnsi="宋体" w:eastAsia="宋体" w:cs="宋体"/>
          <w:b/>
          <w:color w:val="auto"/>
          <w:kern w:val="2"/>
          <w:sz w:val="24"/>
          <w:szCs w:val="24"/>
          <w:highlight w:val="none"/>
          <w:lang w:val="en-US" w:eastAsia="zh-CN" w:bidi="ar-SA"/>
        </w:rPr>
      </w:pPr>
      <w:r>
        <w:rPr>
          <w:rStyle w:val="5"/>
          <w:rFonts w:hint="eastAsia" w:ascii="宋体" w:hAnsi="宋体" w:eastAsia="宋体" w:cs="宋体"/>
          <w:b/>
          <w:color w:val="auto"/>
          <w:kern w:val="2"/>
          <w:sz w:val="24"/>
          <w:szCs w:val="24"/>
          <w:highlight w:val="none"/>
          <w:lang w:val="en-US" w:eastAsia="zh-CN" w:bidi="ar-SA"/>
        </w:rPr>
        <w:t xml:space="preserve">7.项目验收  </w:t>
      </w:r>
    </w:p>
    <w:p w14:paraId="249FCAC8">
      <w:pPr>
        <w:pStyle w:val="13"/>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7.1货物到达现场后，</w:t>
      </w:r>
      <w:bookmarkStart w:id="2" w:name="OLE_LINK2"/>
      <w:r>
        <w:rPr>
          <w:rStyle w:val="5"/>
          <w:rFonts w:hint="eastAsia" w:ascii="宋体" w:hAnsi="宋体" w:eastAsia="宋体" w:cs="宋体"/>
          <w:color w:val="auto"/>
          <w:kern w:val="2"/>
          <w:sz w:val="24"/>
          <w:szCs w:val="24"/>
          <w:highlight w:val="none"/>
          <w:lang w:val="en-US" w:eastAsia="zh-CN" w:bidi="ar-SA"/>
        </w:rPr>
        <w:t>成交供应商</w:t>
      </w:r>
      <w:bookmarkEnd w:id="2"/>
      <w:r>
        <w:rPr>
          <w:rStyle w:val="5"/>
          <w:rFonts w:hint="eastAsia" w:ascii="宋体" w:hAnsi="宋体" w:eastAsia="宋体" w:cs="宋体"/>
          <w:color w:val="auto"/>
          <w:kern w:val="2"/>
          <w:sz w:val="24"/>
          <w:szCs w:val="24"/>
          <w:highlight w:val="none"/>
          <w:lang w:val="en-US" w:eastAsia="zh-CN" w:bidi="ar-SA"/>
        </w:rPr>
        <w:t>应在使用单位人员在场情况下当面开箱，共同清点、检查外观，作出开箱记录，双方签字确认。</w:t>
      </w:r>
    </w:p>
    <w:p w14:paraId="2DDD42C0">
      <w:pPr>
        <w:pStyle w:val="13"/>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7.2成交供应商应保证货物到达用户所在地完好无损，如有缺漏、损坏，由成交供应商负责调换、补齐或赔偿。</w:t>
      </w:r>
    </w:p>
    <w:p w14:paraId="6C34E300">
      <w:pPr>
        <w:pStyle w:val="13"/>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7.3成交供应商应提供完备的技术资料、装箱单和合格证等，并派遣专业技术人员进行现场安装调试。验收合格条件如下：</w:t>
      </w:r>
    </w:p>
    <w:p w14:paraId="7C8304FD">
      <w:pPr>
        <w:pStyle w:val="13"/>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（1）货物规格参数与采购合同一致，性能指标达到规定的标准。</w:t>
      </w:r>
    </w:p>
    <w:p w14:paraId="4E0122C4">
      <w:pPr>
        <w:pStyle w:val="13"/>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（2）货物技术资料、装箱单、合格证等资料齐全。</w:t>
      </w:r>
    </w:p>
    <w:p w14:paraId="5BA1DB31">
      <w:pPr>
        <w:pStyle w:val="13"/>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（3）在安装过程中所出现的问题得到解决，并保证正常使用。</w:t>
      </w:r>
    </w:p>
    <w:p w14:paraId="317CD1ED">
      <w:pPr>
        <w:pStyle w:val="13"/>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（4）在规定时间内完成交货并验收，并经采购人确认。</w:t>
      </w:r>
    </w:p>
    <w:p w14:paraId="77027756">
      <w:pPr>
        <w:pStyle w:val="13"/>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4"/>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7.4成交供应商提供的货物未达到招标文件规定要求，由成交供应商承担一切责任，并赔偿所造成的损失。</w:t>
      </w:r>
    </w:p>
    <w:p w14:paraId="479A4BBF">
      <w:pPr>
        <w:pStyle w:val="13"/>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7.5大型或者复杂的政府采购项目，采购人应当邀请国家认可的质量检测机构参加验收工作。</w:t>
      </w:r>
    </w:p>
    <w:p w14:paraId="3055CA3D">
      <w:pPr>
        <w:pStyle w:val="13"/>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7.6采购人需要厂家对成交供应商交付的产品（包括质量、规格参数等）进行确认的，厂家应予以配合，并出具书面意见。</w:t>
      </w:r>
    </w:p>
    <w:p w14:paraId="4722CA4F">
      <w:pPr>
        <w:pStyle w:val="13"/>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4"/>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7.7产品包装材料归采购人所有。</w:t>
      </w:r>
    </w:p>
    <w:p w14:paraId="56A90190">
      <w:pPr>
        <w:pStyle w:val="12"/>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5"/>
          <w:rFonts w:hint="eastAsia" w:ascii="宋体" w:hAnsi="宋体" w:eastAsia="宋体" w:cs="宋体"/>
          <w:b/>
          <w:color w:val="auto"/>
          <w:kern w:val="2"/>
          <w:sz w:val="24"/>
          <w:szCs w:val="24"/>
          <w:highlight w:val="none"/>
          <w:lang w:val="en-US" w:eastAsia="zh-CN" w:bidi="ar-SA"/>
        </w:rPr>
      </w:pPr>
      <w:r>
        <w:rPr>
          <w:rStyle w:val="5"/>
          <w:rFonts w:hint="eastAsia" w:ascii="宋体" w:hAnsi="宋体" w:eastAsia="宋体" w:cs="宋体"/>
          <w:b/>
          <w:color w:val="auto"/>
          <w:kern w:val="2"/>
          <w:sz w:val="24"/>
          <w:szCs w:val="24"/>
          <w:highlight w:val="none"/>
          <w:lang w:val="en-US" w:eastAsia="zh-CN" w:bidi="ar-SA"/>
        </w:rPr>
        <w:t>四、其他需要说明的事项</w:t>
      </w:r>
    </w:p>
    <w:p w14:paraId="5D5B1ABB">
      <w:pPr>
        <w:pStyle w:val="12"/>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5"/>
          <w:rFonts w:hint="eastAsia" w:ascii="宋体" w:hAnsi="宋体" w:eastAsia="宋体" w:cs="宋体"/>
          <w:b/>
          <w:color w:val="auto"/>
          <w:kern w:val="2"/>
          <w:sz w:val="24"/>
          <w:szCs w:val="24"/>
          <w:highlight w:val="none"/>
          <w:lang w:val="en-US" w:eastAsia="zh-CN" w:bidi="ar-SA"/>
        </w:rPr>
      </w:pPr>
      <w:r>
        <w:rPr>
          <w:rStyle w:val="5"/>
          <w:rFonts w:hint="eastAsia" w:ascii="宋体" w:hAnsi="宋体" w:eastAsia="宋体" w:cs="宋体"/>
          <w:b/>
          <w:color w:val="auto"/>
          <w:kern w:val="2"/>
          <w:sz w:val="24"/>
          <w:szCs w:val="24"/>
          <w:highlight w:val="none"/>
          <w:lang w:val="en-US" w:eastAsia="zh-CN" w:bidi="ar-SA"/>
        </w:rPr>
        <w:t>1、交货</w:t>
      </w:r>
    </w:p>
    <w:p w14:paraId="6683BDC3">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1.1交货时间：成交公告发布之日起5个工作日内，采购人与成交供应商签订书面合同；合同生效后10日内完成全部货物交付。具体权利义务、交付细节及验收要求，以双方正式签订的合同约定为准。</w:t>
      </w:r>
    </w:p>
    <w:p w14:paraId="22264E61">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 xml:space="preserve">1.2交货地点：采购单位指定地点 </w:t>
      </w:r>
    </w:p>
    <w:p w14:paraId="5AD0EB96">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1.3交货方式：采购单位指定。</w:t>
      </w:r>
    </w:p>
    <w:p w14:paraId="004610BF">
      <w:pPr>
        <w:pStyle w:val="12"/>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rPr>
          <w:rStyle w:val="5"/>
          <w:rFonts w:hint="eastAsia" w:ascii="宋体" w:hAnsi="宋体" w:eastAsia="宋体" w:cs="宋体"/>
          <w:b/>
          <w:color w:val="auto"/>
          <w:kern w:val="2"/>
          <w:sz w:val="24"/>
          <w:szCs w:val="24"/>
          <w:highlight w:val="none"/>
          <w:lang w:val="en-US" w:eastAsia="zh-CN" w:bidi="ar-SA"/>
        </w:rPr>
      </w:pPr>
      <w:r>
        <w:rPr>
          <w:rStyle w:val="5"/>
          <w:rFonts w:hint="eastAsia" w:ascii="宋体" w:hAnsi="宋体" w:eastAsia="宋体" w:cs="宋体"/>
          <w:b/>
          <w:color w:val="auto"/>
          <w:kern w:val="2"/>
          <w:sz w:val="24"/>
          <w:szCs w:val="24"/>
          <w:highlight w:val="none"/>
          <w:lang w:val="en-US" w:eastAsia="zh-CN" w:bidi="ar-SA"/>
        </w:rPr>
        <w:t>2、结算方法</w:t>
      </w:r>
    </w:p>
    <w:p w14:paraId="2707D508">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2.1付款人：衡阳县应急管理局</w:t>
      </w:r>
    </w:p>
    <w:p w14:paraId="5949A1AF">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2.2付款方式：合同签订生效，全部项目货物完成交货并经甲方验收合格后，甲方一次性向乙方支付合同总价款，不计利息。具体付款方式、期限及相关事宜，以双方正式签订的合同约定为准。</w:t>
      </w:r>
    </w:p>
    <w:p w14:paraId="3FFCD51D">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center"/>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3、解决争议的方式：诉讼</w:t>
      </w:r>
    </w:p>
    <w:p w14:paraId="3B6A46B7">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center"/>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4、投标人在投标前，自行踏勘现场，有关费用自理，踏勘期间发生的意外自负。</w:t>
      </w:r>
    </w:p>
    <w:p w14:paraId="0EB3C7E1">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center"/>
        <w:rPr>
          <w:rStyle w:val="5"/>
          <w:rFonts w:hint="eastAsia" w:ascii="宋体" w:hAnsi="宋体" w:eastAsia="宋体" w:cs="宋体"/>
          <w:color w:val="auto"/>
          <w:kern w:val="2"/>
          <w:sz w:val="24"/>
          <w:szCs w:val="24"/>
          <w:highlight w:val="none"/>
          <w:lang w:val="en-US" w:eastAsia="zh-CN" w:bidi="ar-SA"/>
        </w:rPr>
      </w:pPr>
      <w:r>
        <w:rPr>
          <w:rStyle w:val="5"/>
          <w:rFonts w:hint="eastAsia" w:ascii="宋体" w:hAnsi="宋体" w:eastAsia="宋体" w:cs="宋体"/>
          <w:color w:val="auto"/>
          <w:kern w:val="2"/>
          <w:sz w:val="24"/>
          <w:szCs w:val="24"/>
          <w:highlight w:val="none"/>
          <w:lang w:val="en-US" w:eastAsia="zh-CN" w:bidi="ar-SA"/>
        </w:rPr>
        <w:t xml:space="preserve">5、未经采购人书面同意，成交人不得在本系统中接入任何其它网络用户、不得将系统或数据提供给第三方使用。 </w:t>
      </w:r>
    </w:p>
    <w:p w14:paraId="7196DF0E">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center"/>
      </w:pPr>
      <w:r>
        <w:rPr>
          <w:rStyle w:val="5"/>
          <w:rFonts w:hint="eastAsia" w:ascii="宋体" w:hAnsi="宋体" w:eastAsia="宋体" w:cs="宋体"/>
          <w:color w:val="auto"/>
          <w:kern w:val="2"/>
          <w:sz w:val="24"/>
          <w:szCs w:val="24"/>
          <w:highlight w:val="none"/>
          <w:lang w:val="en-US" w:eastAsia="zh-CN" w:bidi="ar-SA"/>
        </w:rPr>
        <w:t>6、其他未尽事宜由供需双方在采购合同中详细约定。</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F18E9">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73379">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14:paraId="647F6504">
    <w:pPr>
      <w:pStyle w:val="3"/>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0B69FD"/>
    <w:multiLevelType w:val="singleLevel"/>
    <w:tmpl w:val="E70B69F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B37E28"/>
    <w:rsid w:val="28D16F1A"/>
    <w:rsid w:val="59B37E28"/>
    <w:rsid w:val="71254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character" w:styleId="6">
    <w:name w:val="page number"/>
    <w:qFormat/>
    <w:uiPriority w:val="0"/>
  </w:style>
  <w:style w:type="paragraph" w:customStyle="1" w:styleId="7">
    <w:name w:val="Table Text"/>
    <w:basedOn w:val="8"/>
    <w:semiHidden/>
    <w:qFormat/>
    <w:uiPriority w:val="0"/>
    <w:rPr>
      <w:rFonts w:ascii="等线" w:hAnsi="等线" w:eastAsia="等线" w:cs="等线"/>
      <w:sz w:val="15"/>
      <w:szCs w:val="15"/>
      <w:lang w:val="en-US" w:eastAsia="en-US" w:bidi="ar-SA"/>
    </w:rPr>
  </w:style>
  <w:style w:type="paragraph" w:customStyle="1" w:styleId="8">
    <w:name w:val="Normal_47"/>
    <w:qFormat/>
    <w:uiPriority w:val="0"/>
    <w:pPr>
      <w:widowControl w:val="0"/>
      <w:jc w:val="both"/>
    </w:pPr>
    <w:rPr>
      <w:rFonts w:ascii="Calibri" w:hAnsi="Calibri" w:eastAsia="宋体" w:cs="Times New Roman"/>
      <w:kern w:val="2"/>
      <w:sz w:val="21"/>
      <w:szCs w:val="22"/>
    </w:rPr>
  </w:style>
  <w:style w:type="table" w:customStyle="1" w:styleId="9">
    <w:name w:val="Table Normal"/>
    <w:unhideWhenUsed/>
    <w:qFormat/>
    <w:uiPriority w:val="0"/>
    <w:tblPr>
      <w:tblCellMar>
        <w:top w:w="0" w:type="dxa"/>
        <w:left w:w="0" w:type="dxa"/>
        <w:bottom w:w="0" w:type="dxa"/>
        <w:right w:w="0" w:type="dxa"/>
      </w:tblCellMar>
    </w:tblPr>
  </w:style>
  <w:style w:type="paragraph" w:customStyle="1" w:styleId="10">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正文_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
    <w:name w:val="正文_18"/>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
    <w:name w:val="正文_19"/>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8039</Words>
  <Characters>9313</Characters>
  <Lines>0</Lines>
  <Paragraphs>0</Paragraphs>
  <TotalTime>0</TotalTime>
  <ScaleCrop>false</ScaleCrop>
  <LinksUpToDate>false</LinksUpToDate>
  <CharactersWithSpaces>9724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2026-03-26T08:22:00Z</dcterms:created>
  <dc:creator>Administrator</dc:creator>
  <cp:lastModifiedBy>Administrator</cp:lastModifiedBy>
  <dcterms:modified xsi:type="dcterms:W3CDTF">2026-03-27T02:18:45Z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49BC62DE64794F6F99FFADCF7C47A292_11</vt:lpwstr>
  </property>
  <property fmtid="{D5CDD505-2E9C-101B-9397-08002B2CF9AE}" pid="4" name="KSOTemplateDocerSaveRecord">
    <vt:lpwstr>eyJoZGlkIjoiZTQzODE0MTMzYjk2ZmMwNTMzM2IyYWM1YWJhMWI2OGQiLCJ1c2VySWQiOiIxMTY3NDE1MzQyIn0=</vt:lpwstr>
  </property>
</Properties>
</file>