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156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ascii="Times New Roman" w:hAnsi="Times New Roman" w:eastAsia="仿宋_GB2312"/>
          <w:sz w:val="32"/>
          <w:szCs w:val="32"/>
        </w:rPr>
      </w:pPr>
      <w:bookmarkStart w:id="1" w:name="_GoBack"/>
      <w:bookmarkEnd w:id="1"/>
    </w:p>
    <w:p w14:paraId="4B6DA7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center"/>
        <w:textAlignment w:val="auto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衡阳县数据局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2024年</w:t>
      </w:r>
      <w:r>
        <w:rPr>
          <w:rFonts w:hint="eastAsia" w:ascii="方正小标宋_GBK" w:eastAsia="方正小标宋_GBK"/>
          <w:sz w:val="36"/>
          <w:szCs w:val="36"/>
        </w:rPr>
        <w:t>部门</w:t>
      </w:r>
    </w:p>
    <w:p w14:paraId="5CA9E2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center"/>
        <w:textAlignment w:val="auto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整体支出绩效自评报告</w:t>
      </w:r>
    </w:p>
    <w:p w14:paraId="2162FEB4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</w:p>
    <w:p w14:paraId="3AA1AF5E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机构设置情况</w:t>
      </w:r>
    </w:p>
    <w:p w14:paraId="678206E2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 w:firstLine="64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县数据局为正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科级全额拨款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内设8个股室：包含办公室、财务股、项目规划管理股、数字资源和数字经济股、数字基础设施建设股、行政审批制度改革股、数字政务和政务服务股、政务公开和政府网站管理股。下属机构:县政务服务中心、网上政务服务中心、重大项目审批代理服务中心。</w:t>
      </w:r>
    </w:p>
    <w:p w14:paraId="5A47BA7E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（二）人员编制情况</w:t>
      </w:r>
    </w:p>
    <w:p w14:paraId="05798C34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　　县数据局行政编制12个，县政务服务中心事业编制16个，县网上政务服务中心事业编制5个，县重大投资项目审批代理服务中心事业编制5个。2024年末实有工作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人，退休人员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人，其中在职人员行政编制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12个，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事业编制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21个（其中参照公务员管理事业人员7人）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77DB053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二、预算支出情况</w:t>
      </w:r>
    </w:p>
    <w:p w14:paraId="53DADA88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一）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决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算情况</w:t>
      </w:r>
    </w:p>
    <w:p w14:paraId="5CC5D322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46" w:firstLineChars="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1.部门预算情况</w:t>
      </w:r>
    </w:p>
    <w:p w14:paraId="233F98F3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46" w:firstLine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年初预算收入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372.01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万元，其中：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一般公共预算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拨款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372.01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其他收入</w:t>
      </w:r>
      <w:bookmarkStart w:id="0" w:name="INCOME_QTSR_AMT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0.00</w:t>
      </w:r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万元</w:t>
      </w:r>
      <w:r>
        <w:rPr>
          <w:rFonts w:eastAsia="仿宋_GB2312"/>
          <w:sz w:val="32"/>
          <w:szCs w:val="32"/>
        </w:rPr>
        <w:t>。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2025</w:t>
      </w:r>
      <w:r>
        <w:rPr>
          <w:rFonts w:hint="eastAsia" w:eastAsia="仿宋_GB2312"/>
          <w:sz w:val="32"/>
          <w:szCs w:val="32"/>
          <w:lang w:val="en-US" w:eastAsia="zh-CN"/>
        </w:rPr>
        <w:t>年年初预算安排支出372.01万元，其中：基本支出372.01万元，项目支出0万元。</w:t>
      </w:r>
    </w:p>
    <w:p w14:paraId="6004C835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default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2.部门决算情况（含年中预算追加情况）</w:t>
      </w:r>
    </w:p>
    <w:p w14:paraId="5BEB0783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46" w:firstLineChars="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2024年决算总收入1311.54万元，较年初预算增加939.53万元，总支出1264.99万元，其中：基本支出407.82万元，占总支出的32.24%；项目支出857.17万元，占总支出的67.76%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。</w:t>
      </w:r>
    </w:p>
    <w:p w14:paraId="30906261">
      <w:pPr>
        <w:pStyle w:val="1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left="880" w:leftChars="0" w:firstLine="0"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部门预算执行情况</w:t>
      </w:r>
    </w:p>
    <w:p w14:paraId="09C39A0C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　　1.“三公”经费执行情况</w:t>
      </w:r>
    </w:p>
    <w:p w14:paraId="269AAAF6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2024年“三公”经费预算数3.5万元，其中：因公出</w:t>
      </w:r>
    </w:p>
    <w:p w14:paraId="56C8CF9F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0" w:firstLine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国（出境）费0万元，公务用车购置及运行维护费0万元，公务接待费3.5万元。“三公”经费决算数3.5万元，其中：因公出国（出境）费0万元，公务用车运行维护费0万元，公务接待费3.5万元。</w:t>
      </w:r>
    </w:p>
    <w:p w14:paraId="13AEB86D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　　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2.政府采购执行情况</w:t>
      </w:r>
    </w:p>
    <w:p w14:paraId="724773DE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714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2024年度政府采购支出451.39万元，其中：货物4.87万元，工程22.25万元，服务424.27万元。</w:t>
      </w:r>
    </w:p>
    <w:p w14:paraId="54F1528E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714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3.资产管理情况</w:t>
      </w:r>
    </w:p>
    <w:p w14:paraId="2E709D45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74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2024年年末资产总额456.76万元，负债总额578.23万元，净资产-121.74万元。本年度单位捐赠了一批设备到491个行政村（社区），无偿划拨了一批设备到乡镇，报废了一批设备。截至2024年12月31日，固定资产账面原值 1062.85万元，在用资产1062.85万元，资产使用率100%。</w:t>
      </w:r>
    </w:p>
    <w:p w14:paraId="7A867A68">
      <w:pPr>
        <w:pStyle w:val="14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left="-14" w:leftChars="0" w:firstLine="674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部门整体支出绩效情况</w:t>
      </w:r>
    </w:p>
    <w:p w14:paraId="6AA3616C">
      <w:pPr>
        <w:pStyle w:val="14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left="660" w:leftChars="0" w:firstLine="0" w:firstLineChars="0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综合评价结论。</w:t>
      </w:r>
    </w:p>
    <w:p w14:paraId="682E2D3C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65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我局围绕年初确定的绩效目标，以推动工作任务落实为目标，较好地完成了年度各项工作；部门整体支出绩效自评评分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99.64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，评价等级为“优秀”。</w:t>
      </w:r>
    </w:p>
    <w:p w14:paraId="373F8074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65"/>
        <w:textAlignment w:val="auto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评价指标分析（或综合评价情况）</w:t>
      </w:r>
      <w:r>
        <w:rPr>
          <w:rFonts w:ascii="Times New Roman" w:hAnsi="Times New Roman" w:eastAsia="楷体_GB2312"/>
          <w:bCs/>
          <w:sz w:val="32"/>
          <w:szCs w:val="32"/>
        </w:rPr>
        <w:t>。</w:t>
      </w:r>
    </w:p>
    <w:p w14:paraId="0EC5B26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right="0"/>
        <w:jc w:val="both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</w:t>
      </w:r>
      <w:r>
        <w:rPr>
          <w:rFonts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资产管理</w:t>
      </w:r>
    </w:p>
    <w:p w14:paraId="3C7E9EC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600"/>
        <w:jc w:val="both"/>
        <w:textAlignment w:val="auto"/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由于现在的日常工作已逐步普及办公自动化，加快了办公设备淘汰更新，这就需要对固定资产进行年年清查盘点，使固定资产清查工作经常化、常态化，更好的从源头上对单位固定资产进行监控和管理。</w:t>
      </w:r>
    </w:p>
    <w:p w14:paraId="1EA4536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600"/>
        <w:jc w:val="both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2.</w:t>
      </w:r>
      <w:r>
        <w:rPr>
          <w:rFonts w:hint="default"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单位内控管理</w:t>
      </w:r>
    </w:p>
    <w:p w14:paraId="0CAF531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641"/>
        <w:jc w:val="both"/>
        <w:textAlignment w:val="auto"/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在财务管理过程中逐步建立健全财务管理制度、财务核算制度、财务报销制度等，严格按照《行政单位会计制度》和《行政单位财务规则》的规定设置会计科目，建立了科学有效的会计核算方式，各项经济活动均真实、合法、准确、及时的反应在会计账目上，建立健全内部控制制度，积极配合财政部门开展预算、决算考评工作。</w:t>
      </w:r>
    </w:p>
    <w:p w14:paraId="50E1474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641"/>
        <w:jc w:val="both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3.</w:t>
      </w:r>
      <w:r>
        <w:rPr>
          <w:rFonts w:hint="default"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部门预算管理</w:t>
      </w:r>
    </w:p>
    <w:p w14:paraId="6191DA11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严格按照综合预算原则。统一编制、统一管理、统筹安排资金，将单位所有安排的各项支出纳入综合预算，确保预算全面、真实反映单位实际的收支情况，使所有收支活动纳入预算管理与监督的范围。</w:t>
      </w:r>
      <w:r>
        <w:rPr>
          <w:rFonts w:hint="eastAsia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我局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2024年年度</w:t>
      </w:r>
      <w:r>
        <w:rPr>
          <w:rFonts w:hint="eastAsia" w:ascii="仿宋" w:hAnsi="仿宋" w:eastAsia="仿宋"/>
          <w:color w:val="000000"/>
          <w:sz w:val="32"/>
          <w:shd w:val="clear" w:color="auto" w:fill="FFFFFF"/>
        </w:rPr>
        <w:t>一般公共财政拨款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支出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1197.54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万元，其中基本支出407.82万元，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保障了人员基本工资、津贴补贴、奖金、其他社会保障缴费、生活补助、住房公积金以及其他对个人和家庭的补助支出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项目支出789.72万元，主要用于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政务中心窗口工作人员交通补贴及朝九晚五伙食补贴、“12345”热线及综合窗口劳务派遣人员工资、全县网络运行经费及优化营商环境工作经费。</w:t>
      </w:r>
    </w:p>
    <w:p w14:paraId="7555641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720"/>
        <w:jc w:val="lef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4.绩效管理</w:t>
      </w:r>
    </w:p>
    <w:p w14:paraId="040C9075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65" w:firstLineChars="0"/>
        <w:textAlignment w:val="auto"/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我单位领导高度重视绩效评价工作，成立了绩效评价工作领导小组，采取座谈等方式听取相关情况，检查基本支出、项目支出有关账目，收集整理相关资料，并对资料进行分析，形成评价结论。</w:t>
      </w:r>
    </w:p>
    <w:p w14:paraId="67B5CED8">
      <w:pPr>
        <w:pStyle w:val="14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65" w:firstLineChars="0"/>
        <w:textAlignment w:val="auto"/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部门预算严格按照上级部门预算编制通知和有关要求，结合单位具体工作及县级相关规定编制，按时完成基础、项目报送工作，单位预算按时在红原门户网站公开。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2）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严格执行支出预算，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“三公经费”本着节约、高效的原则严格控制支出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，严格把握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“三公经费”只减不增的原则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年初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“三公”经费预算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其中公务接待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费用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万元，因公出国费用0万元，公务用车0万元。202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年度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“三公”经费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其中公务接待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费用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万元，因公出国费用0万元，公务用车0万元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3）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认真开展部门绩效评价工作，绩效评价规章制度逐渐健全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;严格按照相关法律、法规进行会计核算，严格资金管理，专款专用，资金拨付严格按相关程序报批后支付。认真开展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整体绩效评价工作，绩效评价工作正逐步完善。</w:t>
      </w:r>
    </w:p>
    <w:p w14:paraId="6AD5B65F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eastAsia"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Fonts w:hint="eastAsia"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四、项目绩效目标完成情况</w:t>
      </w:r>
    </w:p>
    <w:p w14:paraId="6739E14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 w:right="0" w:rightChars="0" w:firstLine="640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1.电子</w:t>
      </w:r>
      <w:r>
        <w:rPr>
          <w:rFonts w:hint="eastAsia" w:ascii="仿宋" w:hAnsi="仿宋" w:eastAsia="仿宋" w:cs="仿宋"/>
          <w:sz w:val="32"/>
          <w:szCs w:val="32"/>
        </w:rPr>
        <w:t>网络运行经费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149.88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万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包括政务大厅信息平台维护、电子政务内外网和县乡视频系统运维、县乡视频系统运维及电信局光纤电路租用等费用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我局按照预算计划列支各项支出,支付过程执行相应的程序,严格遵守各项财经纪律。加强系统运营维护,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保障县委、县政府大院及所有县直单位和各乡镇电子网络畅通，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保障网上审批顺利进行。</w:t>
      </w:r>
    </w:p>
    <w:p w14:paraId="3B91D9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2.政务中心窗口交通补助及朝九晚五伙食补贴365万元。包括政务中心日常运转、软硬件设备维修维护及窗口补助和伙食补贴发放，推进“三集中、三到位”、“一件事一次办”等改革事项。2024年度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我局按照预算计划列支各项支出,支付过程执行相应的程序,严格遵守各项财经纪律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，已完成该项目工作任务。</w:t>
      </w:r>
    </w:p>
    <w:p w14:paraId="682336C3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jc w:val="left"/>
        <w:textAlignment w:val="auto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五、</w:t>
      </w:r>
      <w:r>
        <w:rPr>
          <w:rFonts w:eastAsia="黑体"/>
          <w:sz w:val="32"/>
          <w:szCs w:val="32"/>
        </w:rPr>
        <w:t>存在的问题及</w:t>
      </w:r>
      <w:r>
        <w:rPr>
          <w:rFonts w:hint="eastAsia" w:eastAsia="黑体"/>
          <w:sz w:val="32"/>
          <w:szCs w:val="32"/>
          <w:lang w:eastAsia="zh-CN"/>
        </w:rPr>
        <w:t>改进措施</w:t>
      </w:r>
    </w:p>
    <w:p w14:paraId="08BF1817">
      <w:pPr>
        <w:keepNext w:val="0"/>
        <w:keepLines w:val="0"/>
        <w:pageBreakBefore w:val="0"/>
        <w:widowControl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 w:firstLine="480" w:firstLineChars="15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1.存在的问题：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预算执行存在偏差。由于年初预算安排经费不足，本年度许多专项工作需要申请追加预算，导致实际经费支出高于年初预算，预算编制与实际情况存在偏差；二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是绩效目标考核机制不健全。单位的绩效工作量化细化不够，未建立业务工作台账，绩效管理有待进一步加强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是绩效考核后的事后分析和行动计划执行不到位，绩效测评不是最终目的，而是要不断规范和高效地使用财务资金，没有注重结果分析，对未达标的指标，没有进一步制定行动计划。 </w:t>
      </w:r>
    </w:p>
    <w:p w14:paraId="5404281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　　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2.改进措施：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一是科学合理编制预算，严格执行预算在预算金额内严格控制费用的支出，控制超支现象的发生。对于年度无法预计的临时追加的相关工作所需费用，用其他费用项目结余资金调剂使用或确因工作需要追加费用预算的，按照费用预算调整的报批程序，经批准后再使用；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是科学制定年度绩效目标。年度绩效目标应结合单位职能、年度工作重点，细化量化可操作、可考核的绩效目标；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是制订《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衡阳县数据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局内部控制制度》，形成完整的内控体系，完善项目管理制度；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是根据绩效结果，加强事后分析，查找存在的问题，形成整改措施，不断提升单位财务管理水平。</w:t>
      </w:r>
    </w:p>
    <w:p w14:paraId="463DBA1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　　六、</w:t>
      </w:r>
      <w:r>
        <w:rPr>
          <w:rFonts w:ascii="Times New Roman" w:hAnsi="Times New Roman" w:eastAsia="黑体"/>
          <w:sz w:val="32"/>
          <w:szCs w:val="32"/>
        </w:rPr>
        <w:t>其他需要说明的情况</w:t>
      </w:r>
    </w:p>
    <w:p w14:paraId="69E6CE97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p w14:paraId="0445BA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center"/>
        <w:textAlignment w:val="auto"/>
        <w:rPr>
          <w:rFonts w:ascii="Times New Roman" w:hAnsi="Times New Roman" w:eastAsia="方正小标宋_GBK"/>
          <w:sz w:val="36"/>
          <w:szCs w:val="36"/>
        </w:rPr>
      </w:pPr>
    </w:p>
    <w:p w14:paraId="13DD60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center"/>
        <w:textAlignment w:val="auto"/>
        <w:rPr>
          <w:rFonts w:ascii="Times New Roman" w:hAnsi="Times New Roman" w:eastAsia="方正小标宋_GBK"/>
          <w:sz w:val="36"/>
          <w:szCs w:val="36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roman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roman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1F815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8470A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A42AC7"/>
    <w:multiLevelType w:val="singleLevel"/>
    <w:tmpl w:val="82A42AC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8FC5201"/>
    <w:multiLevelType w:val="singleLevel"/>
    <w:tmpl w:val="38FC5201"/>
    <w:lvl w:ilvl="0" w:tentative="0">
      <w:start w:val="2"/>
      <w:numFmt w:val="chineseCounting"/>
      <w:suff w:val="nothing"/>
      <w:lvlText w:val="（%1）"/>
      <w:lvlJc w:val="left"/>
      <w:pPr>
        <w:ind w:left="880" w:leftChars="0" w:firstLine="0" w:firstLineChars="0"/>
      </w:pPr>
      <w:rPr>
        <w:rFonts w:hint="eastAsia"/>
      </w:rPr>
    </w:lvl>
  </w:abstractNum>
  <w:abstractNum w:abstractNumId="2">
    <w:nsid w:val="4BCDCCFD"/>
    <w:multiLevelType w:val="singleLevel"/>
    <w:tmpl w:val="4BCDCCFD"/>
    <w:lvl w:ilvl="0" w:tentative="0">
      <w:start w:val="1"/>
      <w:numFmt w:val="chineseCounting"/>
      <w:suff w:val="nothing"/>
      <w:lvlText w:val="（%1）"/>
      <w:lvlJc w:val="left"/>
      <w:pPr>
        <w:ind w:left="660" w:leftChars="0" w:firstLine="0" w:firstLineChars="0"/>
      </w:pPr>
      <w:rPr>
        <w:rFonts w:hint="eastAsia"/>
      </w:rPr>
    </w:lvl>
  </w:abstractNum>
  <w:abstractNum w:abstractNumId="3">
    <w:nsid w:val="4DBD7976"/>
    <w:multiLevelType w:val="singleLevel"/>
    <w:tmpl w:val="4DBD7976"/>
    <w:lvl w:ilvl="0" w:tentative="0">
      <w:start w:val="3"/>
      <w:numFmt w:val="chineseCounting"/>
      <w:suff w:val="nothing"/>
      <w:lvlText w:val="%1、"/>
      <w:lvlJc w:val="left"/>
      <w:pPr>
        <w:ind w:left="-14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ZWRiMzc4N2JlYTMxYjE2NGE3OGIyNTBhYWM1MTAifQ=="/>
    <w:docVar w:name="KSO_WPS_MARK_KEY" w:val="79d42e37-98be-4531-8358-40f0a0217327"/>
  </w:docVars>
  <w:rsids>
    <w:rsidRoot w:val="00D31D50"/>
    <w:rsid w:val="000504C4"/>
    <w:rsid w:val="00323B43"/>
    <w:rsid w:val="003D37D8"/>
    <w:rsid w:val="00426133"/>
    <w:rsid w:val="004358AB"/>
    <w:rsid w:val="008B7726"/>
    <w:rsid w:val="00AD3B56"/>
    <w:rsid w:val="00D31D50"/>
    <w:rsid w:val="10F90765"/>
    <w:rsid w:val="113D6140"/>
    <w:rsid w:val="13964127"/>
    <w:rsid w:val="1AA01A01"/>
    <w:rsid w:val="1F5124A3"/>
    <w:rsid w:val="32491521"/>
    <w:rsid w:val="33033F15"/>
    <w:rsid w:val="34F56A46"/>
    <w:rsid w:val="3D7A7BCD"/>
    <w:rsid w:val="3DAC0833"/>
    <w:rsid w:val="49C23157"/>
    <w:rsid w:val="4B2A2933"/>
    <w:rsid w:val="5E370963"/>
    <w:rsid w:val="623D288E"/>
    <w:rsid w:val="638B7FE8"/>
    <w:rsid w:val="68FB0DDB"/>
    <w:rsid w:val="6A794B9A"/>
    <w:rsid w:val="6D5D11C9"/>
    <w:rsid w:val="71F3EE91"/>
    <w:rsid w:val="77BA1B74"/>
    <w:rsid w:val="7B0D6E04"/>
    <w:rsid w:val="7CFA019B"/>
    <w:rsid w:val="7EAE0EB1"/>
    <w:rsid w:val="AFCF5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qFormat="1" w:uiPriority="99" w:semiHidden="0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Times New Roman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7"/>
    <w:basedOn w:val="1"/>
    <w:next w:val="1"/>
    <w:unhideWhenUsed/>
    <w:qFormat/>
    <w:uiPriority w:val="99"/>
    <w:pPr>
      <w:ind w:left="2520"/>
    </w:pPr>
  </w:style>
  <w:style w:type="paragraph" w:styleId="4">
    <w:name w:val="footer"/>
    <w:basedOn w:val="1"/>
    <w:link w:val="13"/>
    <w:qFormat/>
    <w:uiPriority w:val="0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24"/>
    </w:rPr>
  </w:style>
  <w:style w:type="paragraph" w:styleId="5">
    <w:name w:val="header"/>
    <w:basedOn w:val="1"/>
    <w:link w:val="12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kern w:val="2"/>
      <w:sz w:val="18"/>
      <w:szCs w:val="24"/>
    </w:rPr>
  </w:style>
  <w:style w:type="character" w:customStyle="1" w:styleId="12">
    <w:name w:val="页眉 Char1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Char1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paragraph" w:customStyle="1" w:styleId="14">
    <w:name w:val="List Paragraph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2837</Words>
  <Characters>3092</Characters>
  <Lines>51</Lines>
  <Paragraphs>14</Paragraphs>
  <TotalTime>106</TotalTime>
  <ScaleCrop>false</ScaleCrop>
  <LinksUpToDate>false</LinksUpToDate>
  <CharactersWithSpaces>3114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2008-09-12T17:20:00Z</dcterms:created>
  <dc:creator>Administrator</dc:creator>
  <cp:lastModifiedBy>爱无罪</cp:lastModifiedBy>
  <cp:lastPrinted>2024-03-01T03:50:00Z</cp:lastPrinted>
  <dcterms:modified xsi:type="dcterms:W3CDTF">2025-10-21T10:24:45Z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6D60818F2C5C818DEDEEF66831E13C62_43</vt:lpwstr>
  </property>
</Properties>
</file>