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944F4">
      <w:pPr>
        <w:rPr>
          <w:rFonts w:hint="eastAsia"/>
          <w:b/>
          <w:bCs/>
          <w:sz w:val="44"/>
          <w:szCs w:val="44"/>
        </w:rPr>
      </w:pPr>
      <w:bookmarkStart w:id="0" w:name="_GoBack"/>
      <w:bookmarkEnd w:id="0"/>
    </w:p>
    <w:p w14:paraId="4F6E8256">
      <w:pPr>
        <w:jc w:val="center"/>
        <w:rPr>
          <w:b/>
          <w:bCs/>
          <w:color w:val="FF0000"/>
          <w:sz w:val="72"/>
          <w:szCs w:val="44"/>
          <w:u w:val="single"/>
        </w:rPr>
      </w:pPr>
      <w:r>
        <w:rPr>
          <w:rFonts w:hint="eastAsia"/>
          <w:b/>
          <w:bCs/>
          <w:color w:val="FF0000"/>
          <w:sz w:val="72"/>
          <w:szCs w:val="44"/>
          <w:u w:val="single"/>
        </w:rPr>
        <w:t>湘南船山技工学校</w:t>
      </w:r>
    </w:p>
    <w:p w14:paraId="5143F4FC">
      <w:pPr>
        <w:jc w:val="center"/>
        <w:rPr>
          <w:bCs/>
          <w:sz w:val="44"/>
          <w:szCs w:val="44"/>
        </w:rPr>
      </w:pPr>
      <w:r>
        <w:rPr>
          <w:rFonts w:hint="eastAsia"/>
          <w:bCs/>
          <w:sz w:val="44"/>
          <w:szCs w:val="44"/>
        </w:rPr>
        <w:t>部门整体支出绩效自评报告</w:t>
      </w:r>
    </w:p>
    <w:p w14:paraId="4C25C18A"/>
    <w:p w14:paraId="275EA24B">
      <w:pPr>
        <w:pStyle w:val="14"/>
        <w:widowControl/>
        <w:numPr>
          <w:ilvl w:val="0"/>
          <w:numId w:val="2"/>
        </w:numPr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单位基本情况</w:t>
      </w:r>
    </w:p>
    <w:p w14:paraId="1D9C237D">
      <w:pPr>
        <w:pStyle w:val="14"/>
        <w:widowControl/>
        <w:numPr>
          <w:ilvl w:val="0"/>
          <w:numId w:val="3"/>
        </w:numPr>
        <w:ind w:firstLineChars="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机构设置情况：</w:t>
      </w:r>
    </w:p>
    <w:p w14:paraId="0CD8BDB6"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我学校共有</w:t>
      </w:r>
      <w:r>
        <w:rPr>
          <w:rFonts w:ascii="仿宋" w:hAnsi="仿宋" w:eastAsia="仿宋"/>
          <w:sz w:val="32"/>
          <w:szCs w:val="32"/>
        </w:rPr>
        <w:t>10</w:t>
      </w:r>
      <w:r>
        <w:rPr>
          <w:rFonts w:hint="eastAsia" w:ascii="仿宋" w:hAnsi="仿宋" w:eastAsia="仿宋"/>
          <w:sz w:val="32"/>
          <w:szCs w:val="32"/>
        </w:rPr>
        <w:t>个科室和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个群团组织</w:t>
      </w:r>
      <w:r>
        <w:rPr>
          <w:rFonts w:ascii="仿宋" w:hAnsi="仿宋" w:eastAsia="仿宋"/>
          <w:sz w:val="32"/>
          <w:szCs w:val="32"/>
        </w:rPr>
        <w:t>,10</w:t>
      </w:r>
      <w:r>
        <w:rPr>
          <w:rFonts w:hint="eastAsia" w:ascii="仿宋" w:hAnsi="仿宋" w:eastAsia="仿宋"/>
          <w:sz w:val="32"/>
          <w:szCs w:val="32"/>
        </w:rPr>
        <w:t>个科室为：办公室、教务科、学生科、招生培训科、实训科、总务科、校企合作科、保卫科、财务科、纪检监察室；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个群团组织为：团委、工会、妇委会。</w:t>
      </w:r>
    </w:p>
    <w:p w14:paraId="1FB5963D">
      <w:pPr>
        <w:pStyle w:val="14"/>
        <w:widowControl/>
        <w:numPr>
          <w:ilvl w:val="0"/>
          <w:numId w:val="3"/>
        </w:numPr>
        <w:ind w:firstLineChars="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人员编制情况：</w:t>
      </w:r>
    </w:p>
    <w:p w14:paraId="0BF912AF"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2024</w:t>
      </w:r>
      <w:r>
        <w:rPr>
          <w:rFonts w:hint="eastAsia" w:ascii="仿宋" w:hAnsi="仿宋" w:eastAsia="仿宋"/>
          <w:sz w:val="32"/>
          <w:szCs w:val="32"/>
        </w:rPr>
        <w:t>年度本校编制人数</w:t>
      </w:r>
      <w:r>
        <w:rPr>
          <w:rFonts w:ascii="仿宋" w:hAnsi="仿宋" w:eastAsia="仿宋"/>
          <w:sz w:val="32"/>
          <w:szCs w:val="32"/>
        </w:rPr>
        <w:t>150</w:t>
      </w:r>
      <w:r>
        <w:rPr>
          <w:rFonts w:hint="eastAsia" w:ascii="仿宋" w:hAnsi="仿宋" w:eastAsia="仿宋"/>
          <w:sz w:val="32"/>
          <w:szCs w:val="32"/>
        </w:rPr>
        <w:t>人，实有在编人员</w:t>
      </w:r>
      <w:r>
        <w:rPr>
          <w:rFonts w:ascii="仿宋" w:hAnsi="仿宋" w:eastAsia="仿宋"/>
          <w:sz w:val="32"/>
          <w:szCs w:val="32"/>
        </w:rPr>
        <w:t>96</w:t>
      </w:r>
      <w:r>
        <w:rPr>
          <w:rFonts w:hint="eastAsia" w:ascii="仿宋" w:hAnsi="仿宋" w:eastAsia="仿宋"/>
          <w:sz w:val="32"/>
          <w:szCs w:val="32"/>
        </w:rPr>
        <w:t>人，单位实有在职人数</w:t>
      </w:r>
      <w:r>
        <w:rPr>
          <w:rFonts w:ascii="仿宋" w:hAnsi="仿宋" w:eastAsia="仿宋"/>
          <w:sz w:val="32"/>
          <w:szCs w:val="32"/>
        </w:rPr>
        <w:t>143</w:t>
      </w:r>
      <w:r>
        <w:rPr>
          <w:rFonts w:hint="eastAsia" w:ascii="仿宋" w:hAnsi="仿宋" w:eastAsia="仿宋"/>
          <w:sz w:val="32"/>
          <w:szCs w:val="32"/>
        </w:rPr>
        <w:t>人，学校</w:t>
      </w:r>
      <w:r>
        <w:rPr>
          <w:rFonts w:ascii="仿宋" w:hAnsi="仿宋" w:eastAsia="仿宋"/>
          <w:sz w:val="32"/>
          <w:szCs w:val="32"/>
        </w:rPr>
        <w:t>2024</w:t>
      </w:r>
      <w:r>
        <w:rPr>
          <w:rFonts w:hint="eastAsia" w:ascii="仿宋" w:hAnsi="仿宋" w:eastAsia="仿宋"/>
          <w:sz w:val="32"/>
          <w:szCs w:val="32"/>
        </w:rPr>
        <w:t>年度在校学生人数</w:t>
      </w:r>
      <w:r>
        <w:rPr>
          <w:rFonts w:ascii="仿宋" w:hAnsi="仿宋" w:eastAsia="仿宋"/>
          <w:sz w:val="32"/>
          <w:szCs w:val="32"/>
        </w:rPr>
        <w:t>2203</w:t>
      </w:r>
      <w:r>
        <w:rPr>
          <w:rFonts w:hint="eastAsia" w:ascii="仿宋" w:hAnsi="仿宋" w:eastAsia="仿宋"/>
          <w:sz w:val="32"/>
          <w:szCs w:val="32"/>
        </w:rPr>
        <w:t>人。</w:t>
      </w:r>
    </w:p>
    <w:p w14:paraId="02F1E6A7">
      <w:pPr>
        <w:pStyle w:val="14"/>
        <w:widowControl/>
        <w:numPr>
          <w:ilvl w:val="0"/>
          <w:numId w:val="2"/>
        </w:numPr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一般公共预算支出情况</w:t>
      </w:r>
    </w:p>
    <w:p w14:paraId="50B8CF25">
      <w:pPr>
        <w:pStyle w:val="12"/>
        <w:widowControl/>
        <w:numPr>
          <w:ilvl w:val="0"/>
          <w:numId w:val="4"/>
        </w:numPr>
        <w:ind w:firstLineChars="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经批复的预、决算情况</w:t>
      </w:r>
    </w:p>
    <w:p w14:paraId="147E35C6"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年一般公共预算财政拨款收入年初预算数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1307.5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</w:t>
      </w:r>
      <w:r>
        <w:rPr>
          <w:rFonts w:hint="eastAsia" w:ascii="仿宋" w:hAnsi="仿宋" w:eastAsia="仿宋" w:cs="仿宋"/>
          <w:sz w:val="32"/>
          <w:szCs w:val="32"/>
        </w:rPr>
        <w:t>全部为本级财政拨款。预算支出</w:t>
      </w:r>
      <w:r>
        <w:rPr>
          <w:rFonts w:ascii="仿宋" w:hAnsi="仿宋" w:eastAsia="仿宋" w:cs="仿宋"/>
          <w:sz w:val="32"/>
          <w:szCs w:val="32"/>
        </w:rPr>
        <w:t>1467.5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668A8B84"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2024</w:t>
      </w:r>
      <w:r>
        <w:rPr>
          <w:rFonts w:hint="eastAsia" w:ascii="仿宋" w:hAnsi="仿宋" w:eastAsia="仿宋"/>
          <w:sz w:val="32"/>
          <w:szCs w:val="32"/>
        </w:rPr>
        <w:t>年部门决算公共财政拨款</w:t>
      </w:r>
      <w:r>
        <w:rPr>
          <w:rFonts w:ascii="仿宋" w:hAnsi="仿宋" w:eastAsia="仿宋"/>
          <w:sz w:val="32"/>
          <w:szCs w:val="32"/>
        </w:rPr>
        <w:t>1467.5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</w:rPr>
        <w:t>其他资金收入</w:t>
      </w:r>
      <w:r>
        <w:rPr>
          <w:rFonts w:ascii="仿宋" w:hAnsi="仿宋" w:eastAsia="仿宋" w:cs="仿宋"/>
          <w:sz w:val="32"/>
          <w:szCs w:val="32"/>
        </w:rPr>
        <w:t>1217.37</w:t>
      </w:r>
      <w:r>
        <w:rPr>
          <w:rFonts w:hint="eastAsia" w:ascii="仿宋" w:hAnsi="仿宋" w:eastAsia="仿宋" w:cs="仿宋"/>
          <w:sz w:val="32"/>
          <w:szCs w:val="32"/>
        </w:rPr>
        <w:t>万元，合计收入</w:t>
      </w:r>
      <w:r>
        <w:rPr>
          <w:rFonts w:ascii="仿宋" w:hAnsi="仿宋" w:eastAsia="仿宋" w:cs="仿宋"/>
          <w:sz w:val="32"/>
          <w:szCs w:val="32"/>
        </w:rPr>
        <w:t>2684.87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65285A25">
      <w:pPr>
        <w:widowControl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</w:t>
      </w:r>
      <w:r>
        <w:rPr>
          <w:rFonts w:hint="eastAsia" w:ascii="仿宋" w:hAnsi="仿宋" w:eastAsia="仿宋"/>
          <w:b/>
          <w:bCs/>
          <w:sz w:val="32"/>
          <w:szCs w:val="32"/>
        </w:rPr>
        <w:t>部门预算执行情况</w:t>
      </w:r>
    </w:p>
    <w:p w14:paraId="32371579">
      <w:pPr>
        <w:widowControl/>
        <w:ind w:firstLine="643" w:firstLineChars="200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</w:rPr>
        <w:t>1.</w:t>
      </w:r>
      <w:r>
        <w:rPr>
          <w:rFonts w:eastAsia="楷体"/>
          <w:bCs/>
          <w:sz w:val="32"/>
          <w:szCs w:val="32"/>
        </w:rPr>
        <w:t xml:space="preserve"> </w:t>
      </w:r>
      <w:r>
        <w:rPr>
          <w:rFonts w:hint="eastAsia" w:eastAsia="楷体"/>
          <w:bCs/>
          <w:sz w:val="32"/>
          <w:szCs w:val="32"/>
        </w:rPr>
        <w:t>基本支出情况</w:t>
      </w:r>
    </w:p>
    <w:p w14:paraId="3ACDA2E4"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基本支出主要包括，人员工资福利支出、商品和服务支出、对个人和家庭的补助、资本性支出等。</w:t>
      </w:r>
    </w:p>
    <w:p w14:paraId="6A4EAE81"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年本校的基本支出总额为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2684.87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万元。其中工资福利支出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1392.55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万元，商品和服务支出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958.27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万元，对个人和家庭的其他补助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60.45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万元，资本性支出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221.23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万元，债务利息及费用支出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52.37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万元。</w:t>
      </w:r>
    </w:p>
    <w:p w14:paraId="433B4E99"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主要数据如下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:</w:t>
      </w:r>
    </w:p>
    <w:p w14:paraId="2EED94A9">
      <w:pPr>
        <w:widowControl/>
        <w:ind w:firstLine="2240" w:firstLineChars="8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支出分类汇总表</w:t>
      </w:r>
      <w:r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 xml:space="preserve">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单位</w:t>
      </w:r>
      <w:r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: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万元</w:t>
      </w:r>
    </w:p>
    <w:tbl>
      <w:tblPr>
        <w:tblStyle w:val="6"/>
        <w:tblW w:w="5022" w:type="pct"/>
        <w:tblInd w:w="0" w:type="dxa"/>
        <w:tblBorders>
          <w:top w:val="single" w:color="auto" w:sz="4" w:space="0"/>
          <w:left w:val="dotted" w:color="auto" w:sz="4" w:space="0"/>
          <w:bottom w:val="single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88"/>
        <w:gridCol w:w="2319"/>
        <w:gridCol w:w="2246"/>
      </w:tblGrid>
      <w:tr w14:paraId="2F1F7429">
        <w:tblPrEx>
          <w:tblBorders>
            <w:top w:val="single" w:color="auto" w:sz="4" w:space="0"/>
            <w:left w:val="dotted" w:color="auto" w:sz="4" w:space="0"/>
            <w:bottom w:val="single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7" w:type="pct"/>
            <w:tcBorders>
              <w:top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604F53">
            <w:pPr>
              <w:widowControl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经济分类</w:t>
            </w:r>
          </w:p>
        </w:tc>
        <w:tc>
          <w:tcPr>
            <w:tcW w:w="1388" w:type="pct"/>
            <w:tcBorders>
              <w:top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868E88">
            <w:pPr>
              <w:widowControl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金额</w:t>
            </w:r>
          </w:p>
        </w:tc>
        <w:tc>
          <w:tcPr>
            <w:tcW w:w="1344" w:type="pct"/>
            <w:tcBorders>
              <w:top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FDC01C">
            <w:pPr>
              <w:widowControl/>
              <w:ind w:firstLine="560" w:firstLineChars="200"/>
              <w:rPr>
                <w:rFonts w:ascii="宋体" w:hAnsi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占比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  <w:shd w:val="clear" w:color="auto" w:fill="FFFFFF"/>
              </w:rPr>
              <w:t>(%)</w:t>
            </w:r>
          </w:p>
        </w:tc>
      </w:tr>
      <w:tr w14:paraId="727E2622">
        <w:tblPrEx>
          <w:tblBorders>
            <w:top w:val="single" w:color="auto" w:sz="4" w:space="0"/>
            <w:left w:val="dotted" w:color="auto" w:sz="4" w:space="0"/>
            <w:bottom w:val="single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7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D33BD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工资福利支出</w:t>
            </w:r>
          </w:p>
        </w:tc>
        <w:tc>
          <w:tcPr>
            <w:tcW w:w="1388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B4385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1392.55</w:t>
            </w:r>
          </w:p>
        </w:tc>
        <w:tc>
          <w:tcPr>
            <w:tcW w:w="134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55820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51.86</w:t>
            </w:r>
          </w:p>
        </w:tc>
      </w:tr>
      <w:tr w14:paraId="10FEC1FB">
        <w:tblPrEx>
          <w:tblBorders>
            <w:top w:val="single" w:color="auto" w:sz="4" w:space="0"/>
            <w:left w:val="dotted" w:color="auto" w:sz="4" w:space="0"/>
            <w:bottom w:val="single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7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3E8B1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商品和服务支出</w:t>
            </w:r>
          </w:p>
        </w:tc>
        <w:tc>
          <w:tcPr>
            <w:tcW w:w="1388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A6563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958.27</w:t>
            </w:r>
          </w:p>
        </w:tc>
        <w:tc>
          <w:tcPr>
            <w:tcW w:w="134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C0AEF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35.7</w:t>
            </w:r>
          </w:p>
        </w:tc>
      </w:tr>
      <w:tr w14:paraId="56BDB31F">
        <w:tblPrEx>
          <w:tblBorders>
            <w:top w:val="single" w:color="auto" w:sz="4" w:space="0"/>
            <w:left w:val="dotted" w:color="auto" w:sz="4" w:space="0"/>
            <w:bottom w:val="single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7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14A82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对个人和家庭的其他补助</w:t>
            </w:r>
          </w:p>
        </w:tc>
        <w:tc>
          <w:tcPr>
            <w:tcW w:w="1388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9B5EC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60.45</w:t>
            </w:r>
          </w:p>
        </w:tc>
        <w:tc>
          <w:tcPr>
            <w:tcW w:w="134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CE6E7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2.25</w:t>
            </w:r>
          </w:p>
        </w:tc>
      </w:tr>
      <w:tr w14:paraId="1FEA203F">
        <w:tblPrEx>
          <w:tblBorders>
            <w:top w:val="single" w:color="auto" w:sz="4" w:space="0"/>
            <w:left w:val="dotted" w:color="auto" w:sz="4" w:space="0"/>
            <w:bottom w:val="single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7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63BAB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资本性支出</w:t>
            </w:r>
          </w:p>
        </w:tc>
        <w:tc>
          <w:tcPr>
            <w:tcW w:w="1388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96E368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221.23</w:t>
            </w:r>
          </w:p>
        </w:tc>
        <w:tc>
          <w:tcPr>
            <w:tcW w:w="134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CB988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8.24</w:t>
            </w:r>
          </w:p>
        </w:tc>
      </w:tr>
      <w:tr w14:paraId="4AA3276E">
        <w:tblPrEx>
          <w:tblBorders>
            <w:top w:val="single" w:color="auto" w:sz="4" w:space="0"/>
            <w:left w:val="dotted" w:color="auto" w:sz="4" w:space="0"/>
            <w:bottom w:val="single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7" w:type="pct"/>
            <w:tcBorders>
              <w:bottom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B11CE5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债务利息及费用支出</w:t>
            </w:r>
          </w:p>
        </w:tc>
        <w:tc>
          <w:tcPr>
            <w:tcW w:w="1388" w:type="pct"/>
            <w:tcBorders>
              <w:bottom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39E76E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52.37</w:t>
            </w:r>
          </w:p>
        </w:tc>
        <w:tc>
          <w:tcPr>
            <w:tcW w:w="1344" w:type="pct"/>
            <w:tcBorders>
              <w:bottom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7667C0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1.95</w:t>
            </w:r>
          </w:p>
        </w:tc>
      </w:tr>
    </w:tbl>
    <w:p w14:paraId="5387BB75">
      <w:pPr>
        <w:widowControl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</w:rPr>
        <w:t>（三）</w:t>
      </w:r>
      <w:r>
        <w:rPr>
          <w:rFonts w:hint="eastAsia" w:ascii="仿宋" w:hAnsi="仿宋" w:eastAsia="仿宋"/>
          <w:b/>
          <w:bCs/>
          <w:sz w:val="32"/>
          <w:szCs w:val="32"/>
        </w:rPr>
        <w:t>“三公”经费使用和管理情况</w:t>
      </w:r>
    </w:p>
    <w:p w14:paraId="7C0FD504">
      <w:pPr>
        <w:widowControl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学校认真贯彻落实中央八项规定、六项禁令、执行作风建设相关规定，例行节约，“三公”经费逐年下降，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年的三公经费均控制在预算范围内，其中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: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因公出国出境费用预算费用为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且本年度未发生经费支出；公务接待费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年度预算费用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4.25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万元，实际发生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1.58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万元；公车运行维护费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年度预算费用万元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1.88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年度实际发生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1.88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万元。</w:t>
      </w:r>
    </w:p>
    <w:p w14:paraId="2542C6E5">
      <w:pPr>
        <w:widowControl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shd w:val="clear" w:color="auto" w:fill="FFFFFF"/>
        </w:rPr>
        <w:t>（三）政府采购执行情况</w:t>
      </w:r>
    </w:p>
    <w:p w14:paraId="61A6B0A9">
      <w:pPr>
        <w:widowControl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/>
          <w:b/>
          <w:bCs/>
          <w:sz w:val="32"/>
          <w:szCs w:val="32"/>
        </w:rPr>
        <w:t>20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年度政府采购支出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1067.95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万元，其中：货物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367.41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万元，工程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250.38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万元，服务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450.16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万元。</w:t>
      </w:r>
    </w:p>
    <w:p w14:paraId="47E9B194">
      <w:pPr>
        <w:widowControl/>
        <w:ind w:firstLine="321" w:firstLineChars="100"/>
        <w:rPr>
          <w:rFonts w:ascii="仿宋" w:hAnsi="仿宋" w:eastAsia="仿宋" w:cs="仿宋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shd w:val="clear" w:color="auto" w:fill="FFFFFF"/>
        </w:rPr>
        <w:t>（四）资产管理情况</w:t>
      </w:r>
    </w:p>
    <w:p w14:paraId="4BFCF4FA">
      <w:pPr>
        <w:widowControl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年年末资产总额8463.86万元，负债总额2079.85万元，净资产总额6384.01万元。截至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31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日，固定资产账面原值10588.08万元，在用资产6737.5万元，资产使用率63.6</w:t>
      </w:r>
      <w:r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%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。</w:t>
      </w:r>
    </w:p>
    <w:p w14:paraId="01B79765">
      <w:pPr>
        <w:pStyle w:val="12"/>
        <w:widowControl/>
        <w:numPr>
          <w:ilvl w:val="0"/>
          <w:numId w:val="5"/>
        </w:numPr>
        <w:ind w:firstLineChars="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部门整体支出绩效评价情况</w:t>
      </w:r>
    </w:p>
    <w:p w14:paraId="3F56836B">
      <w:pPr>
        <w:pStyle w:val="12"/>
        <w:numPr>
          <w:ilvl w:val="0"/>
          <w:numId w:val="6"/>
        </w:numPr>
        <w:ind w:firstLineChars="0"/>
        <w:rPr>
          <w:rFonts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综合评价结论</w:t>
      </w:r>
    </w:p>
    <w:p w14:paraId="64C74DFA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年来，我校在县委、县政府的正确领导下精心指导下，以习近平新时代中国特色社会主义思想为指导，按照县委、县政府制定的工作目标任务及要求，切实履行职责，为服务衡阳县经济社会发展发挥了独特作用，较好的完成了年度工作目标。</w:t>
      </w:r>
    </w:p>
    <w:p w14:paraId="2C3AF9C8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2024</w:t>
      </w:r>
      <w:r>
        <w:rPr>
          <w:rFonts w:hint="eastAsia" w:ascii="仿宋" w:hAnsi="仿宋" w:eastAsia="仿宋"/>
          <w:sz w:val="32"/>
          <w:szCs w:val="32"/>
        </w:rPr>
        <w:t>年部门整体支出绩效评价自评得分</w:t>
      </w:r>
      <w:r>
        <w:rPr>
          <w:rFonts w:ascii="仿宋" w:hAnsi="仿宋" w:eastAsia="仿宋"/>
          <w:sz w:val="32"/>
          <w:szCs w:val="32"/>
        </w:rPr>
        <w:t>99.43</w:t>
      </w:r>
      <w:r>
        <w:rPr>
          <w:rFonts w:hint="eastAsia" w:ascii="仿宋" w:hAnsi="仿宋" w:eastAsia="仿宋"/>
          <w:sz w:val="32"/>
          <w:szCs w:val="32"/>
        </w:rPr>
        <w:t>分，评价等级为优秀。</w:t>
      </w:r>
    </w:p>
    <w:p w14:paraId="13D11C51">
      <w:pPr>
        <w:widowControl/>
        <w:ind w:firstLine="645"/>
        <w:jc w:val="left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㈡综合评价情况</w:t>
      </w:r>
    </w:p>
    <w:p w14:paraId="52BB612D">
      <w:pPr>
        <w:pStyle w:val="12"/>
        <w:widowControl/>
        <w:snapToGrid w:val="0"/>
        <w:ind w:left="359" w:leftChars="171"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、执行率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分，得分</w:t>
      </w:r>
      <w:r>
        <w:rPr>
          <w:rFonts w:ascii="Times New Roman" w:hAnsi="Times New Roman" w:eastAsia="仿宋_GB2312"/>
          <w:sz w:val="32"/>
          <w:szCs w:val="32"/>
        </w:rPr>
        <w:t>9.43</w:t>
      </w:r>
      <w:r>
        <w:rPr>
          <w:rFonts w:hint="eastAsia" w:ascii="Times New Roman" w:hAnsi="Times New Roman" w:eastAsia="仿宋_GB2312"/>
          <w:sz w:val="32"/>
          <w:szCs w:val="32"/>
        </w:rPr>
        <w:t>分，年初预算数</w:t>
      </w:r>
      <w:r>
        <w:rPr>
          <w:rFonts w:ascii="Times New Roman" w:hAnsi="Times New Roman" w:eastAsia="仿宋_GB2312"/>
          <w:sz w:val="32"/>
          <w:szCs w:val="32"/>
        </w:rPr>
        <w:t>1307.5</w:t>
      </w:r>
      <w:r>
        <w:rPr>
          <w:rFonts w:hint="eastAsia" w:ascii="Times New Roman" w:hAnsi="Times New Roman" w:eastAsia="仿宋_GB2312"/>
          <w:sz w:val="32"/>
          <w:szCs w:val="32"/>
        </w:rPr>
        <w:t>万元，全年预算数</w:t>
      </w:r>
      <w:r>
        <w:rPr>
          <w:rFonts w:ascii="Times New Roman" w:hAnsi="Times New Roman" w:eastAsia="仿宋_GB2312"/>
          <w:sz w:val="32"/>
          <w:szCs w:val="32"/>
        </w:rPr>
        <w:t>2845.97</w:t>
      </w:r>
      <w:r>
        <w:rPr>
          <w:rFonts w:hint="eastAsia" w:ascii="Times New Roman" w:hAnsi="Times New Roman" w:eastAsia="仿宋_GB2312"/>
          <w:sz w:val="32"/>
          <w:szCs w:val="32"/>
        </w:rPr>
        <w:t>万元，全年执行数</w:t>
      </w:r>
      <w:r>
        <w:rPr>
          <w:rFonts w:ascii="Times New Roman" w:hAnsi="Times New Roman" w:eastAsia="仿宋_GB2312"/>
          <w:sz w:val="32"/>
          <w:szCs w:val="32"/>
        </w:rPr>
        <w:t>2684.87</w:t>
      </w:r>
      <w:r>
        <w:rPr>
          <w:rFonts w:hint="eastAsia" w:ascii="Times New Roman" w:hAnsi="Times New Roman" w:eastAsia="仿宋_GB2312"/>
          <w:sz w:val="32"/>
          <w:szCs w:val="32"/>
        </w:rPr>
        <w:t>万元。</w:t>
      </w:r>
    </w:p>
    <w:p w14:paraId="59C13817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、产出指标</w:t>
      </w:r>
      <w:r>
        <w:rPr>
          <w:rFonts w:ascii="Times New Roman" w:hAnsi="Times New Roman" w:eastAsia="仿宋_GB2312"/>
          <w:sz w:val="32"/>
          <w:szCs w:val="32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分，得分</w:t>
      </w:r>
      <w:r>
        <w:rPr>
          <w:rFonts w:ascii="Times New Roman" w:hAnsi="Times New Roman" w:eastAsia="仿宋_GB2312"/>
          <w:sz w:val="32"/>
          <w:szCs w:val="32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分，情况如下：</w:t>
      </w:r>
    </w:p>
    <w:p w14:paraId="569E3B49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数量指标：学校完成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项业务活动，</w:t>
      </w:r>
      <w:r>
        <w:rPr>
          <w:rFonts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>得分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分，推进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项校企合作共建，得分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40899A3A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质量指标：老师工资福利发放率完成</w:t>
      </w:r>
      <w:r>
        <w:rPr>
          <w:rFonts w:ascii="Times New Roman" w:hAnsi="Times New Roman" w:eastAsia="仿宋_GB2312"/>
          <w:sz w:val="32"/>
          <w:szCs w:val="32"/>
        </w:rPr>
        <w:t>100%</w:t>
      </w:r>
      <w:r>
        <w:rPr>
          <w:rFonts w:hint="eastAsia" w:ascii="Times New Roman" w:hAnsi="Times New Roman" w:eastAsia="仿宋_GB2312"/>
          <w:sz w:val="32"/>
          <w:szCs w:val="32"/>
        </w:rPr>
        <w:t>，得分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0645E9FD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时效指标：春秋两季教学完成率</w:t>
      </w:r>
      <w:r>
        <w:rPr>
          <w:rFonts w:ascii="Times New Roman" w:hAnsi="Times New Roman" w:eastAsia="仿宋_GB2312"/>
          <w:sz w:val="32"/>
          <w:szCs w:val="32"/>
        </w:rPr>
        <w:t>100%</w:t>
      </w:r>
      <w:r>
        <w:rPr>
          <w:rFonts w:hint="eastAsia" w:ascii="Times New Roman" w:hAnsi="Times New Roman" w:eastAsia="仿宋_GB2312"/>
          <w:sz w:val="32"/>
          <w:szCs w:val="32"/>
        </w:rPr>
        <w:t>，得分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0AFBDA5C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、效益指标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分，得分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分，情况如下：</w:t>
      </w:r>
    </w:p>
    <w:p w14:paraId="51A797CC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经济效益指标：增加</w:t>
      </w:r>
      <w:r>
        <w:rPr>
          <w:rFonts w:ascii="Times New Roman" w:hAnsi="Times New Roman" w:eastAsia="仿宋_GB2312"/>
          <w:sz w:val="32"/>
          <w:szCs w:val="32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位优秀学生，得分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4837BB5C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社会效益指标：学习之星增加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人，得分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分。高技能人才增加</w:t>
      </w:r>
      <w:r>
        <w:rPr>
          <w:rFonts w:ascii="Times New Roman" w:hAnsi="Times New Roman" w:eastAsia="仿宋_GB2312"/>
          <w:sz w:val="32"/>
          <w:szCs w:val="32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人，得分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5352DA65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可持续影响指标：教学质量稳步提升，得分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7F5280B5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、满意度指标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分，得分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2C891739">
      <w:pPr>
        <w:tabs>
          <w:tab w:val="left" w:pos="3930"/>
        </w:tabs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在校生满意度与教职工满意度均为</w:t>
      </w:r>
      <w:r>
        <w:rPr>
          <w:rFonts w:ascii="Times New Roman" w:hAnsi="Times New Roman" w:eastAsia="仿宋_GB2312"/>
          <w:sz w:val="32"/>
          <w:szCs w:val="32"/>
        </w:rPr>
        <w:t>95%</w:t>
      </w:r>
      <w:r>
        <w:rPr>
          <w:rFonts w:hint="eastAsia" w:ascii="Times New Roman" w:hAnsi="Times New Roman" w:eastAsia="仿宋_GB2312"/>
          <w:sz w:val="32"/>
          <w:szCs w:val="32"/>
        </w:rPr>
        <w:t>，得分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5DFE65A6">
      <w:pPr>
        <w:tabs>
          <w:tab w:val="left" w:pos="3930"/>
        </w:tabs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、成本指标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分，得分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6B248F20">
      <w:pPr>
        <w:tabs>
          <w:tab w:val="left" w:pos="3930"/>
        </w:tabs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各项成本均控制在预算内，得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17ADFA74">
      <w:pPr>
        <w:pStyle w:val="5"/>
        <w:widowControl/>
        <w:spacing w:beforeAutospacing="0" w:afterAutospacing="0"/>
        <w:ind w:firstLine="643" w:firstLineChars="200"/>
        <w:jc w:val="both"/>
        <w:rPr>
          <w:rFonts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四、存在的主要问题</w:t>
      </w:r>
    </w:p>
    <w:p w14:paraId="28FCD5EA">
      <w:pPr>
        <w:pStyle w:val="5"/>
        <w:widowControl/>
        <w:spacing w:beforeAutospacing="0" w:afterAutospacing="0"/>
        <w:ind w:firstLine="640" w:firstLineChars="200"/>
        <w:jc w:val="both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对于绩效评价的认识不够深入，把预算绩效简单等同于工作目标、工作考核和业务管理。</w:t>
      </w:r>
    </w:p>
    <w:p w14:paraId="43830B32">
      <w:pPr>
        <w:pStyle w:val="5"/>
        <w:widowControl/>
        <w:numPr>
          <w:ilvl w:val="0"/>
          <w:numId w:val="7"/>
        </w:numPr>
        <w:spacing w:beforeAutospacing="0" w:afterAutospacing="0"/>
        <w:ind w:firstLine="640" w:firstLineChars="200"/>
        <w:jc w:val="both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指标设置不科学。</w:t>
      </w:r>
    </w:p>
    <w:p w14:paraId="02A84B8C">
      <w:pPr>
        <w:pStyle w:val="5"/>
        <w:widowControl/>
        <w:numPr>
          <w:ilvl w:val="0"/>
          <w:numId w:val="7"/>
        </w:numPr>
        <w:spacing w:beforeAutospacing="0" w:afterAutospacing="0"/>
        <w:ind w:firstLine="640" w:firstLineChars="200"/>
        <w:jc w:val="both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绩效管理制度还不够完善，需要进一步加强绩效管理的深度和广度。</w:t>
      </w:r>
    </w:p>
    <w:p w14:paraId="1113E549">
      <w:pPr>
        <w:pStyle w:val="5"/>
        <w:widowControl/>
        <w:numPr>
          <w:ilvl w:val="0"/>
          <w:numId w:val="7"/>
        </w:numPr>
        <w:spacing w:beforeAutospacing="0" w:afterAutospacing="0"/>
        <w:ind w:firstLine="640" w:firstLineChars="200"/>
        <w:jc w:val="both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绩效培训次数不多。</w:t>
      </w:r>
    </w:p>
    <w:p w14:paraId="1BC865EB">
      <w:pPr>
        <w:pStyle w:val="5"/>
        <w:widowControl/>
        <w:numPr>
          <w:ilvl w:val="0"/>
          <w:numId w:val="7"/>
        </w:numPr>
        <w:spacing w:beforeAutospacing="0" w:afterAutospacing="0"/>
        <w:ind w:firstLine="640" w:firstLineChars="200"/>
        <w:jc w:val="both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系统繁杂，有点不清晰。</w:t>
      </w:r>
    </w:p>
    <w:p w14:paraId="5A667F2F">
      <w:pPr>
        <w:pStyle w:val="5"/>
        <w:widowControl/>
        <w:spacing w:beforeAutospacing="0" w:afterAutospacing="0"/>
        <w:ind w:firstLine="643" w:firstLineChars="200"/>
        <w:jc w:val="both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五、改进措施及建议</w:t>
      </w:r>
    </w:p>
    <w:p w14:paraId="5D66373C">
      <w:pPr>
        <w:pStyle w:val="5"/>
        <w:widowControl/>
        <w:spacing w:beforeAutospacing="0" w:afterAutospacing="0"/>
        <w:ind w:firstLine="640" w:firstLineChars="200"/>
        <w:jc w:val="both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1、进一步加深对绩效指标的理解，与绩效目标相结合。</w:t>
      </w:r>
    </w:p>
    <w:p w14:paraId="5B8D22F7">
      <w:pPr>
        <w:pStyle w:val="5"/>
        <w:widowControl/>
        <w:spacing w:beforeAutospacing="0" w:afterAutospacing="0"/>
        <w:ind w:firstLine="640" w:firstLineChars="200"/>
        <w:jc w:val="both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2、进一步加强绩效管理，注意绩效的实质性。</w:t>
      </w:r>
    </w:p>
    <w:p w14:paraId="785B5236">
      <w:pPr>
        <w:pStyle w:val="5"/>
        <w:widowControl/>
        <w:spacing w:beforeAutospacing="0" w:afterAutospacing="0"/>
        <w:ind w:firstLine="640" w:firstLineChars="200"/>
        <w:jc w:val="both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3、建议业务股室多组织培训，便于我们加强对绩效的理解。</w:t>
      </w:r>
    </w:p>
    <w:p w14:paraId="6701F7D0">
      <w:pPr>
        <w:widowControl/>
        <w:numPr>
          <w:ilvl w:val="0"/>
          <w:numId w:val="8"/>
        </w:numPr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其他需要说明的情况</w:t>
      </w:r>
    </w:p>
    <w:p w14:paraId="6DE31108">
      <w:pPr>
        <w:widowControl/>
        <w:spacing w:line="60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ascii="仿宋" w:hAnsi="仿宋" w:eastAsia="仿宋" w:cs="仿宋"/>
          <w:color w:val="333333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无</w:t>
      </w:r>
    </w:p>
    <w:p w14:paraId="7029A814">
      <w:pPr>
        <w:pStyle w:val="5"/>
        <w:widowControl/>
        <w:spacing w:beforeAutospacing="0" w:afterAutospacing="0" w:line="33" w:lineRule="atLeast"/>
        <w:jc w:val="both"/>
        <w:rPr>
          <w:rFonts w:ascii="仿宋" w:hAnsi="仿宋" w:eastAsia="仿宋" w:cs="仿宋"/>
          <w:color w:val="333333"/>
          <w:sz w:val="32"/>
          <w:szCs w:val="32"/>
        </w:rPr>
      </w:pPr>
    </w:p>
    <w:p w14:paraId="4DAEB22C">
      <w:pPr>
        <w:pStyle w:val="5"/>
        <w:widowControl/>
        <w:spacing w:beforeAutospacing="0" w:afterAutospacing="0" w:line="33" w:lineRule="atLeast"/>
        <w:ind w:right="480" w:firstLine="4800" w:firstLineChars="1500"/>
        <w:jc w:val="right"/>
        <w:rPr>
          <w:rFonts w:ascii="仿宋_GB2312" w:hAnsi="宋体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  <w:shd w:val="clear" w:color="auto" w:fill="FFFFFF"/>
        </w:rPr>
        <w:t>湘南船山技工学校</w:t>
      </w:r>
    </w:p>
    <w:p w14:paraId="508BEDB3">
      <w:pPr>
        <w:pStyle w:val="5"/>
        <w:widowControl/>
        <w:spacing w:beforeAutospacing="0" w:afterAutospacing="0" w:line="33" w:lineRule="atLeast"/>
        <w:ind w:right="640" w:firstLine="4800" w:firstLineChars="1500"/>
        <w:jc w:val="center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ascii="仿宋" w:hAnsi="仿宋" w:eastAsia="仿宋" w:cs="仿宋"/>
          <w:color w:val="333333"/>
          <w:sz w:val="32"/>
          <w:szCs w:val="32"/>
        </w:rPr>
        <w:t xml:space="preserve">   2025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</w:t>
      </w:r>
      <w:r>
        <w:rPr>
          <w:rFonts w:ascii="仿宋" w:hAnsi="仿宋" w:eastAsia="仿宋" w:cs="仿宋"/>
          <w:color w:val="333333"/>
          <w:sz w:val="32"/>
          <w:szCs w:val="32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月</w:t>
      </w:r>
      <w:r>
        <w:rPr>
          <w:rFonts w:ascii="仿宋" w:hAnsi="仿宋" w:eastAsia="仿宋" w:cs="仿宋"/>
          <w:color w:val="333333"/>
          <w:sz w:val="32"/>
          <w:szCs w:val="32"/>
        </w:rPr>
        <w:t>20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</w:t>
      </w:r>
    </w:p>
    <w:p w14:paraId="2D0A167E">
      <w:pPr>
        <w:pStyle w:val="5"/>
        <w:widowControl/>
        <w:spacing w:beforeAutospacing="0" w:afterAutospacing="0" w:line="33" w:lineRule="atLeast"/>
        <w:ind w:right="640" w:firstLine="4800" w:firstLineChars="1500"/>
        <w:jc w:val="center"/>
        <w:rPr>
          <w:rFonts w:ascii="仿宋" w:hAnsi="仿宋" w:eastAsia="仿宋" w:cs="仿宋"/>
          <w:color w:val="333333"/>
          <w:sz w:val="32"/>
          <w:szCs w:val="32"/>
        </w:rPr>
      </w:pPr>
    </w:p>
    <w:p w14:paraId="6FF81810"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</w:p>
    <w:p w14:paraId="1DF6F227">
      <w:pPr>
        <w:pStyle w:val="5"/>
        <w:widowControl/>
        <w:spacing w:beforeAutospacing="0" w:afterAutospacing="0" w:line="33" w:lineRule="atLeast"/>
        <w:ind w:right="640"/>
        <w:jc w:val="both"/>
        <w:rPr>
          <w:rFonts w:ascii="仿宋" w:hAnsi="仿宋" w:eastAsia="仿宋" w:cs="仿宋"/>
          <w:color w:val="333333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C10AA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95648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590B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FF94E4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8ADACB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2C603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E7E18"/>
    <w:multiLevelType w:val="singleLevel"/>
    <w:tmpl w:val="84EE7E18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1">
    <w:nsid w:val="D5153E13"/>
    <w:multiLevelType w:val="singleLevel"/>
    <w:tmpl w:val="D5153E13"/>
    <w:lvl w:ilvl="0" w:tentative="0">
      <w:start w:val="3"/>
      <w:numFmt w:val="chineseCounting"/>
      <w:pStyle w:val="13"/>
      <w:suff w:val="nothing"/>
      <w:lvlText w:val="%1、"/>
      <w:lvlJc w:val="left"/>
      <w:rPr>
        <w:rFonts w:hint="eastAsia" w:cs="Times New Roman"/>
      </w:rPr>
    </w:lvl>
  </w:abstractNum>
  <w:abstractNum w:abstractNumId="2">
    <w:nsid w:val="0D0E0A8F"/>
    <w:multiLevelType w:val="multilevel"/>
    <w:tmpl w:val="0D0E0A8F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 w:ascii="楷体" w:hAnsi="楷体" w:eastAsia="楷体" w:cs="楷体"/>
        <w:b w:val="0"/>
        <w:color w:val="000000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3">
    <w:nsid w:val="0E5176B6"/>
    <w:multiLevelType w:val="multilevel"/>
    <w:tmpl w:val="0E5176B6"/>
    <w:lvl w:ilvl="0" w:tentative="0">
      <w:start w:val="1"/>
      <w:numFmt w:val="ideographEnclosedCircle"/>
      <w:lvlText w:val="%1"/>
      <w:lvlJc w:val="left"/>
      <w:pPr>
        <w:ind w:left="1000" w:hanging="360"/>
      </w:pPr>
      <w:rPr>
        <w:rFonts w:hint="default" w:ascii="仿宋" w:hAnsi="仿宋" w:eastAsia="仿宋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4">
    <w:nsid w:val="3A255CE5"/>
    <w:multiLevelType w:val="multilevel"/>
    <w:tmpl w:val="3A255CE5"/>
    <w:lvl w:ilvl="0" w:tentative="0">
      <w:start w:val="6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5">
    <w:nsid w:val="44CCE268"/>
    <w:multiLevelType w:val="singleLevel"/>
    <w:tmpl w:val="44CCE268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6">
    <w:nsid w:val="47BB26F7"/>
    <w:multiLevelType w:val="multilevel"/>
    <w:tmpl w:val="47BB26F7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7">
    <w:nsid w:val="607A64AF"/>
    <w:multiLevelType w:val="multilevel"/>
    <w:tmpl w:val="607A64AF"/>
    <w:lvl w:ilvl="0" w:tentative="0">
      <w:start w:val="3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2"/>
  </w:num>
  <w:num w:numId="5">
    <w:abstractNumId w:val="7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MmNiOThiYjhlOTBmNTM5ZDIzOTljMzBjMjMxZjQifQ=="/>
  </w:docVars>
  <w:rsids>
    <w:rsidRoot w:val="0B4B794C"/>
    <w:rsid w:val="00014F26"/>
    <w:rsid w:val="000166D7"/>
    <w:rsid w:val="0003016B"/>
    <w:rsid w:val="0003335E"/>
    <w:rsid w:val="000432E9"/>
    <w:rsid w:val="00047617"/>
    <w:rsid w:val="00050EC1"/>
    <w:rsid w:val="00067E63"/>
    <w:rsid w:val="00073716"/>
    <w:rsid w:val="000B1554"/>
    <w:rsid w:val="000B5C97"/>
    <w:rsid w:val="000D1967"/>
    <w:rsid w:val="000E4212"/>
    <w:rsid w:val="000F794C"/>
    <w:rsid w:val="00124865"/>
    <w:rsid w:val="00130264"/>
    <w:rsid w:val="0015048B"/>
    <w:rsid w:val="001A36C5"/>
    <w:rsid w:val="001D2888"/>
    <w:rsid w:val="001D5527"/>
    <w:rsid w:val="001D7711"/>
    <w:rsid w:val="001E1149"/>
    <w:rsid w:val="001E63D9"/>
    <w:rsid w:val="001E6BB2"/>
    <w:rsid w:val="002009A3"/>
    <w:rsid w:val="00221803"/>
    <w:rsid w:val="00231D90"/>
    <w:rsid w:val="002420ED"/>
    <w:rsid w:val="0025362D"/>
    <w:rsid w:val="00255FC9"/>
    <w:rsid w:val="00261301"/>
    <w:rsid w:val="00261400"/>
    <w:rsid w:val="0026201F"/>
    <w:rsid w:val="00286CF9"/>
    <w:rsid w:val="00287437"/>
    <w:rsid w:val="002A04C4"/>
    <w:rsid w:val="002A4352"/>
    <w:rsid w:val="002B3D6B"/>
    <w:rsid w:val="002D1551"/>
    <w:rsid w:val="002E17F4"/>
    <w:rsid w:val="002F1BE7"/>
    <w:rsid w:val="00303FC9"/>
    <w:rsid w:val="00311810"/>
    <w:rsid w:val="00316063"/>
    <w:rsid w:val="00327F9C"/>
    <w:rsid w:val="00333460"/>
    <w:rsid w:val="00365655"/>
    <w:rsid w:val="003C063C"/>
    <w:rsid w:val="003D6210"/>
    <w:rsid w:val="003E4959"/>
    <w:rsid w:val="0043202F"/>
    <w:rsid w:val="00435AAC"/>
    <w:rsid w:val="00456608"/>
    <w:rsid w:val="00471AAF"/>
    <w:rsid w:val="00476E16"/>
    <w:rsid w:val="00480929"/>
    <w:rsid w:val="00495E9D"/>
    <w:rsid w:val="004B1BCA"/>
    <w:rsid w:val="004B3B56"/>
    <w:rsid w:val="005148C5"/>
    <w:rsid w:val="005229F7"/>
    <w:rsid w:val="00535DED"/>
    <w:rsid w:val="00564B9C"/>
    <w:rsid w:val="00584EEE"/>
    <w:rsid w:val="00591938"/>
    <w:rsid w:val="005A1A5E"/>
    <w:rsid w:val="005A299A"/>
    <w:rsid w:val="00635602"/>
    <w:rsid w:val="00646008"/>
    <w:rsid w:val="00650B95"/>
    <w:rsid w:val="00661B25"/>
    <w:rsid w:val="00677176"/>
    <w:rsid w:val="00682A84"/>
    <w:rsid w:val="00685C67"/>
    <w:rsid w:val="006A771B"/>
    <w:rsid w:val="007159B8"/>
    <w:rsid w:val="007217F8"/>
    <w:rsid w:val="00731548"/>
    <w:rsid w:val="00731E5E"/>
    <w:rsid w:val="00731F2E"/>
    <w:rsid w:val="00770AC7"/>
    <w:rsid w:val="00783035"/>
    <w:rsid w:val="0079423E"/>
    <w:rsid w:val="007B5D46"/>
    <w:rsid w:val="007E3D3C"/>
    <w:rsid w:val="008007CD"/>
    <w:rsid w:val="00800EF0"/>
    <w:rsid w:val="00804CA2"/>
    <w:rsid w:val="00825E36"/>
    <w:rsid w:val="00856F40"/>
    <w:rsid w:val="00860757"/>
    <w:rsid w:val="00887511"/>
    <w:rsid w:val="0089053C"/>
    <w:rsid w:val="008B4E62"/>
    <w:rsid w:val="008D4DC7"/>
    <w:rsid w:val="008F1C7A"/>
    <w:rsid w:val="00913980"/>
    <w:rsid w:val="00924B82"/>
    <w:rsid w:val="00A226D6"/>
    <w:rsid w:val="00A30D54"/>
    <w:rsid w:val="00A419B2"/>
    <w:rsid w:val="00A81592"/>
    <w:rsid w:val="00A81BC0"/>
    <w:rsid w:val="00A96883"/>
    <w:rsid w:val="00AE442E"/>
    <w:rsid w:val="00B05FA0"/>
    <w:rsid w:val="00B11E73"/>
    <w:rsid w:val="00B1281B"/>
    <w:rsid w:val="00B36358"/>
    <w:rsid w:val="00B540F4"/>
    <w:rsid w:val="00B564FF"/>
    <w:rsid w:val="00B612FE"/>
    <w:rsid w:val="00BB1F28"/>
    <w:rsid w:val="00BD7DCC"/>
    <w:rsid w:val="00BF03BD"/>
    <w:rsid w:val="00C310FF"/>
    <w:rsid w:val="00C405A9"/>
    <w:rsid w:val="00C80ABA"/>
    <w:rsid w:val="00C8230E"/>
    <w:rsid w:val="00CB6642"/>
    <w:rsid w:val="00D04DD8"/>
    <w:rsid w:val="00D079C2"/>
    <w:rsid w:val="00D23BD8"/>
    <w:rsid w:val="00D30F63"/>
    <w:rsid w:val="00D31F1D"/>
    <w:rsid w:val="00D555C2"/>
    <w:rsid w:val="00D563A0"/>
    <w:rsid w:val="00DA16E7"/>
    <w:rsid w:val="00DE2BCC"/>
    <w:rsid w:val="00DE5E52"/>
    <w:rsid w:val="00E00928"/>
    <w:rsid w:val="00E215D7"/>
    <w:rsid w:val="00E6607C"/>
    <w:rsid w:val="00E72A03"/>
    <w:rsid w:val="00E742F8"/>
    <w:rsid w:val="00E80DE6"/>
    <w:rsid w:val="00E87369"/>
    <w:rsid w:val="00EC297D"/>
    <w:rsid w:val="00EE2B80"/>
    <w:rsid w:val="00F116E8"/>
    <w:rsid w:val="00F2081F"/>
    <w:rsid w:val="00F2697B"/>
    <w:rsid w:val="00F2760B"/>
    <w:rsid w:val="00F377B4"/>
    <w:rsid w:val="00F40679"/>
    <w:rsid w:val="00F42523"/>
    <w:rsid w:val="00F57D17"/>
    <w:rsid w:val="00FA5423"/>
    <w:rsid w:val="00FA5A48"/>
    <w:rsid w:val="00FA5F83"/>
    <w:rsid w:val="00FC1C3E"/>
    <w:rsid w:val="00FD2465"/>
    <w:rsid w:val="00FD3C92"/>
    <w:rsid w:val="00FE3FFE"/>
    <w:rsid w:val="00FF31A8"/>
    <w:rsid w:val="03C336E4"/>
    <w:rsid w:val="05C324B6"/>
    <w:rsid w:val="06D433ED"/>
    <w:rsid w:val="0A0E7999"/>
    <w:rsid w:val="0A807A9E"/>
    <w:rsid w:val="0B4B794C"/>
    <w:rsid w:val="0B746412"/>
    <w:rsid w:val="0BE96465"/>
    <w:rsid w:val="0BED2CDE"/>
    <w:rsid w:val="0BF96379"/>
    <w:rsid w:val="0C214592"/>
    <w:rsid w:val="0D9174E2"/>
    <w:rsid w:val="0F0567D3"/>
    <w:rsid w:val="0F551D9D"/>
    <w:rsid w:val="0F9F2C4F"/>
    <w:rsid w:val="123F22E5"/>
    <w:rsid w:val="13ED0644"/>
    <w:rsid w:val="13F10763"/>
    <w:rsid w:val="16341288"/>
    <w:rsid w:val="19570A4F"/>
    <w:rsid w:val="1AEC0679"/>
    <w:rsid w:val="1B5770AE"/>
    <w:rsid w:val="1C8A206E"/>
    <w:rsid w:val="1D2D0D7F"/>
    <w:rsid w:val="1EDE7655"/>
    <w:rsid w:val="1F4D1FBA"/>
    <w:rsid w:val="20106CF9"/>
    <w:rsid w:val="206F65F8"/>
    <w:rsid w:val="20A50586"/>
    <w:rsid w:val="20FF4998"/>
    <w:rsid w:val="21B04BB6"/>
    <w:rsid w:val="253B5F9F"/>
    <w:rsid w:val="2730722F"/>
    <w:rsid w:val="277D675B"/>
    <w:rsid w:val="28542C66"/>
    <w:rsid w:val="2A2E4796"/>
    <w:rsid w:val="2BF80A58"/>
    <w:rsid w:val="2CCA1763"/>
    <w:rsid w:val="2E9574DA"/>
    <w:rsid w:val="2F2B0C38"/>
    <w:rsid w:val="2F445658"/>
    <w:rsid w:val="2F8F3096"/>
    <w:rsid w:val="31691572"/>
    <w:rsid w:val="322D1494"/>
    <w:rsid w:val="3337567A"/>
    <w:rsid w:val="33FA55D2"/>
    <w:rsid w:val="357E094F"/>
    <w:rsid w:val="35E13BC7"/>
    <w:rsid w:val="37BF4F92"/>
    <w:rsid w:val="380F20AB"/>
    <w:rsid w:val="3842422E"/>
    <w:rsid w:val="3A0F566C"/>
    <w:rsid w:val="3A551F19"/>
    <w:rsid w:val="3B892174"/>
    <w:rsid w:val="3C0407E2"/>
    <w:rsid w:val="3D603934"/>
    <w:rsid w:val="41D7132F"/>
    <w:rsid w:val="44366505"/>
    <w:rsid w:val="48C6593A"/>
    <w:rsid w:val="494C5115"/>
    <w:rsid w:val="499A502A"/>
    <w:rsid w:val="49B45C12"/>
    <w:rsid w:val="49C02F9E"/>
    <w:rsid w:val="4E0833CC"/>
    <w:rsid w:val="4EB06A68"/>
    <w:rsid w:val="4FFF03C5"/>
    <w:rsid w:val="51420342"/>
    <w:rsid w:val="51FC6B43"/>
    <w:rsid w:val="52B972CD"/>
    <w:rsid w:val="556E742F"/>
    <w:rsid w:val="55B72F4C"/>
    <w:rsid w:val="5A650676"/>
    <w:rsid w:val="5B2A4A57"/>
    <w:rsid w:val="5B922578"/>
    <w:rsid w:val="5BC648DE"/>
    <w:rsid w:val="5C0C70C5"/>
    <w:rsid w:val="5EE94B54"/>
    <w:rsid w:val="5EFA7C53"/>
    <w:rsid w:val="63506BD0"/>
    <w:rsid w:val="63E307C2"/>
    <w:rsid w:val="66CE7E88"/>
    <w:rsid w:val="66E9073F"/>
    <w:rsid w:val="683A3979"/>
    <w:rsid w:val="6AC66E73"/>
    <w:rsid w:val="6B246642"/>
    <w:rsid w:val="6B513631"/>
    <w:rsid w:val="6C94197D"/>
    <w:rsid w:val="6D4C44FA"/>
    <w:rsid w:val="6FB24144"/>
    <w:rsid w:val="6FC12F8F"/>
    <w:rsid w:val="703E496A"/>
    <w:rsid w:val="712E1AB0"/>
    <w:rsid w:val="71D07FB4"/>
    <w:rsid w:val="71E82547"/>
    <w:rsid w:val="72A440DB"/>
    <w:rsid w:val="7383549D"/>
    <w:rsid w:val="750C14F5"/>
    <w:rsid w:val="7895094F"/>
    <w:rsid w:val="7A283643"/>
    <w:rsid w:val="7AB83901"/>
    <w:rsid w:val="7CB02AEA"/>
    <w:rsid w:val="7CFF7A22"/>
    <w:rsid w:val="7D3E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iPriority w:val="99"/>
    <w:pPr>
      <w:ind w:left="100" w:leftChars="2500"/>
    </w:p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Hyperlink"/>
    <w:basedOn w:val="7"/>
    <w:uiPriority w:val="99"/>
    <w:rPr>
      <w:rFonts w:cs="Times New Roman"/>
      <w:color w:val="0000FF"/>
      <w:u w:val="single"/>
    </w:rPr>
  </w:style>
  <w:style w:type="character" w:customStyle="1" w:styleId="9">
    <w:name w:val="日期 Char"/>
    <w:basedOn w:val="7"/>
    <w:link w:val="2"/>
    <w:locked/>
    <w:uiPriority w:val="99"/>
    <w:rPr>
      <w:rFonts w:ascii="Calibri" w:hAnsi="Calibri" w:eastAsia="宋体" w:cs="Times New Roman"/>
      <w:kern w:val="2"/>
      <w:sz w:val="24"/>
      <w:szCs w:val="24"/>
    </w:rPr>
  </w:style>
  <w:style w:type="character" w:customStyle="1" w:styleId="10">
    <w:name w:val="页脚 Char"/>
    <w:basedOn w:val="7"/>
    <w:link w:val="3"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眉 Char"/>
    <w:basedOn w:val="7"/>
    <w:link w:val="4"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paragraph" w:customStyle="1" w:styleId="13">
    <w:name w:val="Char1 Char Char Char"/>
    <w:basedOn w:val="1"/>
    <w:uiPriority w:val="99"/>
    <w:pPr>
      <w:numPr>
        <w:ilvl w:val="0"/>
        <w:numId w:val="1"/>
      </w:numPr>
      <w:tabs>
        <w:tab w:val="left" w:pos="1280"/>
      </w:tabs>
    </w:pPr>
    <w:rPr>
      <w:rFonts w:ascii="Times New Roman" w:hAnsi="Times New Roman"/>
    </w:rPr>
  </w:style>
  <w:style w:type="paragraph" w:customStyle="1" w:styleId="14">
    <w:name w:val="列出段落1"/>
    <w:basedOn w:val="1"/>
    <w:uiPriority w:val="99"/>
    <w:pPr>
      <w:ind w:firstLine="420" w:firstLineChars="200"/>
    </w:pPr>
    <w:rPr>
      <w:rFonts w:ascii="Times New Roman" w:hAnsi="Times New Roman"/>
    </w:rPr>
  </w:style>
  <w:style w:type="paragraph" w:customStyle="1" w:styleId="15">
    <w:name w:val="04正文"/>
    <w:basedOn w:val="1"/>
    <w:uiPriority w:val="99"/>
    <w:pPr>
      <w:widowControl/>
      <w:adjustRightInd w:val="0"/>
      <w:snapToGrid w:val="0"/>
      <w:spacing w:line="360" w:lineRule="auto"/>
      <w:ind w:firstLine="200" w:firstLineChars="200"/>
    </w:pPr>
    <w:rPr>
      <w:rFonts w:ascii="Times New Roman" w:hAnsi="Times New Roman" w:eastAsia="仿宋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922</Words>
  <Characters>1145</Characters>
  <Lines>2</Lines>
  <Paragraphs>3</Paragraphs>
  <TotalTime>13</TotalTime>
  <ScaleCrop>false</ScaleCrop>
  <LinksUpToDate>false</LinksUpToDate>
  <CharactersWithSpaces>1153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2025-05-26T01:58:00Z</dcterms:created>
  <dc:creator>Administrator</dc:creator>
  <cp:lastModifiedBy>一颗星星</cp:lastModifiedBy>
  <cp:lastPrinted>2022-04-21T11:01:00Z</cp:lastPrinted>
  <dcterms:modified xsi:type="dcterms:W3CDTF">2025-11-03T00:53:19Z</dcterms:modified>
  <dc:title>湘南船山技工学校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AB111E4EF5D24DB9B4E0F05A8AB9406C_13</vt:lpwstr>
  </property>
</Properties>
</file>