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jc w:val="center"/>
        <w:rPr>
          <w:rFonts w:ascii="Times New Roman" w:hAnsi="Times New Roman" w:cs="Times New Roman"/>
          <w:sz w:val="56"/>
          <w:szCs w:val="56"/>
        </w:rPr>
      </w:pPr>
    </w:p>
    <w:p>
      <w:pPr>
        <w:pStyle w:val="15"/>
        <w:jc w:val="center"/>
        <w:rPr>
          <w:rFonts w:ascii="Times New Roman" w:hAnsi="Times New Roman" w:cs="Times New Roman"/>
          <w:sz w:val="84"/>
          <w:szCs w:val="84"/>
        </w:rPr>
      </w:pPr>
    </w:p>
    <w:p>
      <w:pPr>
        <w:pStyle w:val="15"/>
        <w:jc w:val="center"/>
        <w:rPr>
          <w:rFonts w:ascii="Times New Roman" w:hAnsi="Times New Roman" w:cs="Times New Roman"/>
          <w:sz w:val="84"/>
          <w:szCs w:val="84"/>
        </w:rPr>
      </w:pPr>
    </w:p>
    <w:p>
      <w:pPr>
        <w:pStyle w:val="15"/>
        <w:jc w:val="center"/>
        <w:rPr>
          <w:rFonts w:ascii="Times New Roman" w:hAnsi="Times New Roman" w:eastAsia="方正小标宋简体" w:cs="Times New Roman"/>
          <w:sz w:val="72"/>
          <w:szCs w:val="72"/>
        </w:rPr>
      </w:pPr>
      <w:r>
        <w:rPr>
          <w:rFonts w:ascii="Times New Roman" w:hAnsi="Times New Roman" w:eastAsia="方正小标宋简体" w:cs="Times New Roman"/>
          <w:sz w:val="72"/>
          <w:szCs w:val="72"/>
        </w:rPr>
        <w:t>2024年度</w:t>
      </w:r>
    </w:p>
    <w:p>
      <w:pPr>
        <w:pStyle w:val="15"/>
        <w:jc w:val="center"/>
        <w:rPr>
          <w:rFonts w:ascii="Times New Roman" w:hAnsi="Times New Roman" w:eastAsia="方正小标宋简体" w:cs="Times New Roman"/>
          <w:sz w:val="72"/>
          <w:szCs w:val="72"/>
        </w:rPr>
      </w:pPr>
      <w:r>
        <w:rPr>
          <w:rFonts w:hint="eastAsia" w:ascii="Times New Roman" w:hAnsi="Times New Roman" w:eastAsia="方正小标宋简体" w:cs="Times New Roman"/>
          <w:sz w:val="72"/>
          <w:szCs w:val="72"/>
          <w:lang w:eastAsia="zh-CN"/>
        </w:rPr>
        <w:t>衡阳县劳动</w:t>
      </w:r>
      <w:r>
        <w:rPr>
          <w:rFonts w:hint="eastAsia" w:ascii="Times New Roman" w:hAnsi="Times New Roman" w:eastAsia="方正小标宋简体" w:cs="Times New Roman"/>
          <w:sz w:val="72"/>
          <w:szCs w:val="72"/>
          <w:lang w:val="en-US" w:eastAsia="zh-CN"/>
        </w:rPr>
        <w:t>人事争议仲裁院</w:t>
      </w:r>
      <w:r>
        <w:rPr>
          <w:rFonts w:ascii="Times New Roman" w:hAnsi="Times New Roman" w:eastAsia="方正小标宋简体" w:cs="Times New Roman"/>
          <w:sz w:val="72"/>
          <w:szCs w:val="72"/>
        </w:rPr>
        <w:t>部门决算</w:t>
      </w:r>
    </w:p>
    <w:p>
      <w:pPr>
        <w:pStyle w:val="15"/>
        <w:jc w:val="center"/>
        <w:rPr>
          <w:rFonts w:ascii="Times New Roman" w:hAnsi="Times New Roman" w:eastAsia="方正小标宋_GBK" w:cs="Times New Roman"/>
          <w:sz w:val="56"/>
          <w:szCs w:val="56"/>
        </w:rPr>
      </w:pPr>
    </w:p>
    <w:p>
      <w:pPr>
        <w:pStyle w:val="15"/>
        <w:jc w:val="center"/>
        <w:rPr>
          <w:rFonts w:ascii="Times New Roman" w:hAnsi="Times New Roman" w:cs="Times New Roman"/>
          <w:sz w:val="56"/>
          <w:szCs w:val="56"/>
        </w:rPr>
      </w:pPr>
    </w:p>
    <w:p>
      <w:pPr>
        <w:pStyle w:val="15"/>
        <w:rPr>
          <w:rFonts w:ascii="Times New Roman" w:hAnsi="Times New Roman" w:cs="Times New Roman"/>
          <w:sz w:val="56"/>
          <w:szCs w:val="56"/>
        </w:rPr>
      </w:pPr>
    </w:p>
    <w:p>
      <w:pPr>
        <w:pStyle w:val="15"/>
        <w:jc w:val="center"/>
        <w:rPr>
          <w:rFonts w:ascii="Times New Roman" w:hAnsi="Times New Roman" w:cs="Times New Roman"/>
          <w:sz w:val="32"/>
          <w:szCs w:val="32"/>
        </w:rPr>
      </w:pPr>
    </w:p>
    <w:p>
      <w:pPr>
        <w:pStyle w:val="15"/>
        <w:jc w:val="center"/>
        <w:rPr>
          <w:rFonts w:ascii="Times New Roman" w:hAnsi="Times New Roman" w:cs="Times New Roman"/>
          <w:sz w:val="32"/>
          <w:szCs w:val="32"/>
        </w:rPr>
      </w:pPr>
    </w:p>
    <w:p>
      <w:pPr>
        <w:pStyle w:val="15"/>
        <w:jc w:val="center"/>
        <w:rPr>
          <w:rFonts w:ascii="Times New Roman" w:hAnsi="Times New Roman" w:cs="Times New Roman"/>
          <w:sz w:val="32"/>
          <w:szCs w:val="32"/>
        </w:rPr>
      </w:pPr>
    </w:p>
    <w:p>
      <w:pPr>
        <w:pStyle w:val="15"/>
        <w:jc w:val="center"/>
        <w:rPr>
          <w:rFonts w:ascii="Times New Roman" w:hAnsi="Times New Roman" w:cs="Times New Roman"/>
          <w:sz w:val="32"/>
          <w:szCs w:val="32"/>
        </w:rPr>
      </w:pPr>
    </w:p>
    <w:p>
      <w:pPr>
        <w:pStyle w:val="15"/>
        <w:jc w:val="center"/>
        <w:rPr>
          <w:rFonts w:ascii="Times New Roman" w:hAnsi="Times New Roman" w:cs="Times New Roman"/>
          <w:sz w:val="32"/>
          <w:szCs w:val="32"/>
        </w:rPr>
      </w:pPr>
    </w:p>
    <w:p>
      <w:pPr>
        <w:pStyle w:val="15"/>
        <w:spacing w:line="540" w:lineRule="exact"/>
        <w:jc w:val="both"/>
        <w:rPr>
          <w:rFonts w:ascii="Times New Roman" w:hAnsi="Times New Roman" w:cs="Times New Roman"/>
          <w:sz w:val="56"/>
          <w:szCs w:val="56"/>
        </w:rPr>
      </w:pPr>
    </w:p>
    <w:p>
      <w:pPr>
        <w:pStyle w:val="15"/>
        <w:spacing w:line="600" w:lineRule="exact"/>
        <w:jc w:val="both"/>
        <w:sectPr>
          <w:pgSz w:w="11906" w:h="16838"/>
          <w:pgMar w:top="1417" w:right="1588" w:bottom="1417" w:left="1588" w:header="851" w:footer="992" w:gutter="0"/>
          <w:cols w:space="720" w:num="1"/>
          <w:docGrid w:type="lines" w:linePitch="312" w:charSpace="0"/>
        </w:sectPr>
      </w:pPr>
    </w:p>
    <w:p>
      <w:pPr>
        <w:pStyle w:val="15"/>
        <w:spacing w:line="600" w:lineRule="exact"/>
        <w:jc w:val="both"/>
        <w:rPr>
          <w:rFonts w:ascii="Times New Roman" w:hAnsi="Times New Roman" w:cs="Times New Roman"/>
          <w:b/>
          <w:sz w:val="36"/>
          <w:szCs w:val="28"/>
        </w:rPr>
      </w:pPr>
    </w:p>
    <w:p>
      <w:pPr>
        <w:pStyle w:val="15"/>
        <w:spacing w:line="600" w:lineRule="exact"/>
        <w:jc w:val="center"/>
        <w:rPr>
          <w:rFonts w:ascii="Times New Roman" w:hAnsi="Times New Roman" w:cs="Times New Roman"/>
          <w:bCs/>
          <w:sz w:val="36"/>
          <w:szCs w:val="28"/>
        </w:rPr>
      </w:pPr>
      <w:r>
        <w:rPr>
          <w:rFonts w:ascii="Times New Roman" w:hAnsi="Times New Roman" w:cs="Times New Roman"/>
          <w:bCs/>
          <w:sz w:val="36"/>
          <w:szCs w:val="28"/>
        </w:rPr>
        <w:t>目  录</w:t>
      </w:r>
    </w:p>
    <w:p>
      <w:pPr>
        <w:pStyle w:val="15"/>
        <w:spacing w:line="600" w:lineRule="exact"/>
        <w:jc w:val="center"/>
        <w:rPr>
          <w:rFonts w:ascii="Times New Roman" w:hAnsi="Times New Roman" w:cs="Times New Roman"/>
          <w:b/>
          <w:sz w:val="36"/>
          <w:szCs w:val="28"/>
        </w:rPr>
      </w:pPr>
    </w:p>
    <w:p>
      <w:pPr>
        <w:pStyle w:val="15"/>
        <w:spacing w:afterLines="50" w:line="600" w:lineRule="exact"/>
        <w:rPr>
          <w:rFonts w:ascii="Times New Roman" w:hAnsi="Times New Roman" w:cs="Times New Roman"/>
          <w:bCs/>
          <w:sz w:val="32"/>
          <w:szCs w:val="32"/>
        </w:rPr>
      </w:pPr>
      <w:r>
        <w:rPr>
          <w:rFonts w:ascii="Times New Roman" w:hAnsi="Times New Roman" w:cs="Times New Roman"/>
          <w:bCs/>
          <w:sz w:val="32"/>
          <w:szCs w:val="32"/>
        </w:rPr>
        <w:t>第一部分 概况</w:t>
      </w:r>
    </w:p>
    <w:p>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一、部门职责</w:t>
      </w:r>
    </w:p>
    <w:p>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二、机构设置及决算单位构成</w:t>
      </w:r>
    </w:p>
    <w:p>
      <w:pPr>
        <w:pStyle w:val="15"/>
        <w:spacing w:beforeLines="50" w:afterLines="50" w:line="600" w:lineRule="exact"/>
        <w:rPr>
          <w:rFonts w:ascii="Times New Roman" w:hAnsi="Times New Roman" w:cs="Times New Roman"/>
          <w:bCs/>
          <w:sz w:val="32"/>
          <w:szCs w:val="32"/>
        </w:rPr>
      </w:pPr>
      <w:r>
        <w:rPr>
          <w:rFonts w:ascii="Times New Roman" w:hAnsi="Times New Roman" w:cs="Times New Roman"/>
          <w:bCs/>
          <w:sz w:val="32"/>
          <w:szCs w:val="32"/>
        </w:rPr>
        <w:t>第二部分 部门决算表</w:t>
      </w:r>
    </w:p>
    <w:p>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一、收入支出决算总表</w:t>
      </w:r>
    </w:p>
    <w:p>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二、收入决算表</w:t>
      </w:r>
    </w:p>
    <w:p>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三、支出决算表</w:t>
      </w:r>
    </w:p>
    <w:p>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四、财政拨款收入支出决算总表</w:t>
      </w:r>
    </w:p>
    <w:p>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五、一般公共预算财政拨款支出决算表</w:t>
      </w:r>
    </w:p>
    <w:p>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六、一般公共预算财政拨款基本支出决算明细表</w:t>
      </w:r>
    </w:p>
    <w:p>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七、政府性基金预算财政拨款收入支出决算表</w:t>
      </w:r>
    </w:p>
    <w:p>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八、国有资本经营预算财政拨款支出决算表</w:t>
      </w:r>
    </w:p>
    <w:p>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九、财政拨款“三公”经费支出决算表</w:t>
      </w:r>
    </w:p>
    <w:p>
      <w:pPr>
        <w:pStyle w:val="15"/>
        <w:spacing w:beforeLines="50" w:afterLines="50" w:line="600" w:lineRule="exact"/>
        <w:rPr>
          <w:rFonts w:ascii="Times New Roman" w:hAnsi="Times New Roman" w:cs="Times New Roman"/>
          <w:bCs/>
          <w:sz w:val="32"/>
          <w:szCs w:val="32"/>
        </w:rPr>
      </w:pPr>
      <w:r>
        <w:rPr>
          <w:rFonts w:ascii="Times New Roman" w:hAnsi="Times New Roman" w:cs="Times New Roman"/>
          <w:bCs/>
          <w:sz w:val="32"/>
          <w:szCs w:val="32"/>
        </w:rPr>
        <w:t>第三部分 部门决算情况说明</w:t>
      </w:r>
    </w:p>
    <w:p>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pPr>
        <w:spacing w:line="60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三、支出决算情况说明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四、财政拨款收入支出决算总体情况说明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五、一般公共预算财政拨款支出决算情况说明</w:t>
      </w:r>
    </w:p>
    <w:p>
      <w:pPr>
        <w:autoSpaceDE w:val="0"/>
        <w:autoSpaceDN w:val="0"/>
        <w:adjustRightInd w:val="0"/>
        <w:spacing w:line="600" w:lineRule="exact"/>
        <w:jc w:val="left"/>
        <w:sectPr>
          <w:footerReference r:id="rId3" w:type="default"/>
          <w:pgSz w:w="11906" w:h="16838"/>
          <w:pgMar w:top="1417" w:right="1588" w:bottom="1417" w:left="1588" w:header="851" w:footer="992" w:gutter="0"/>
          <w:pgNumType w:start="1"/>
          <w:cols w:space="720" w:num="1"/>
          <w:docGrid w:type="lines" w:linePitch="312" w:charSpace="0"/>
        </w:sectPr>
      </w:pP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六、一般公共预算财政拨款基本支出决算情况说明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七、财政拨款“三公”经费支出决算情况说明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八、政府性基金预算收入支出决算情况</w:t>
      </w:r>
      <w:r>
        <w:rPr>
          <w:rFonts w:hint="eastAsia" w:ascii="Times New Roman" w:hAnsi="Times New Roman" w:eastAsia="仿宋_GB2312" w:cs="Times New Roman"/>
          <w:color w:val="000000"/>
          <w:kern w:val="0"/>
          <w:sz w:val="32"/>
          <w:szCs w:val="32"/>
          <w:lang w:eastAsia="zh-CN"/>
        </w:rPr>
        <w:t>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九、</w:t>
      </w:r>
      <w:r>
        <w:rPr>
          <w:rFonts w:hint="eastAsia" w:ascii="Times New Roman" w:hAnsi="Times New Roman" w:eastAsia="仿宋_GB2312" w:cs="Times New Roman"/>
          <w:color w:val="000000"/>
          <w:kern w:val="0"/>
          <w:sz w:val="32"/>
          <w:szCs w:val="32"/>
          <w:lang w:eastAsia="zh-CN"/>
        </w:rPr>
        <w:t>国有资本经营预算财政拨款收入支出情况说明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十、关于机关运行经费支出说明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十一、一般性支出情况说明</w:t>
      </w:r>
    </w:p>
    <w:p>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十二、</w:t>
      </w:r>
      <w:r>
        <w:rPr>
          <w:rFonts w:ascii="Times New Roman" w:hAnsi="Times New Roman" w:eastAsia="仿宋_GB2312" w:cs="Times New Roman"/>
          <w:color w:val="000000"/>
          <w:kern w:val="0"/>
          <w:sz w:val="32"/>
          <w:szCs w:val="32"/>
        </w:rPr>
        <w:t>关于政府采购支出说明</w:t>
      </w:r>
    </w:p>
    <w:p>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十三、关于国有资产占用情况说明</w:t>
      </w:r>
    </w:p>
    <w:p>
      <w:pPr>
        <w:pStyle w:val="15"/>
        <w:spacing w:line="60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十四、</w:t>
      </w:r>
      <w:r>
        <w:rPr>
          <w:rFonts w:ascii="Times New Roman" w:hAnsi="Times New Roman" w:eastAsia="仿宋_GB2312" w:cs="Times New Roman"/>
          <w:sz w:val="32"/>
          <w:szCs w:val="32"/>
        </w:rPr>
        <w:t>关于2024年度预算绩效管理情况的说明</w:t>
      </w:r>
    </w:p>
    <w:p>
      <w:pPr>
        <w:pStyle w:val="15"/>
        <w:spacing w:beforeLines="50" w:afterLines="50" w:line="600" w:lineRule="exact"/>
        <w:rPr>
          <w:rFonts w:ascii="Times New Roman" w:hAnsi="Times New Roman" w:cs="Times New Roman"/>
          <w:bCs/>
          <w:sz w:val="32"/>
          <w:szCs w:val="32"/>
        </w:rPr>
      </w:pPr>
      <w:r>
        <w:rPr>
          <w:rFonts w:ascii="Times New Roman" w:hAnsi="Times New Roman" w:cs="Times New Roman"/>
          <w:bCs/>
          <w:sz w:val="32"/>
          <w:szCs w:val="32"/>
        </w:rPr>
        <w:t>第四部分 名词解释</w:t>
      </w:r>
    </w:p>
    <w:p>
      <w:pPr>
        <w:pStyle w:val="15"/>
        <w:spacing w:beforeLines="50" w:afterLines="50" w:line="600" w:lineRule="exact"/>
        <w:rPr>
          <w:rFonts w:ascii="Times New Roman" w:hAnsi="Times New Roman" w:cs="Times New Roman"/>
          <w:bCs/>
          <w:sz w:val="32"/>
          <w:szCs w:val="32"/>
        </w:rPr>
      </w:pPr>
      <w:r>
        <w:rPr>
          <w:rFonts w:ascii="Times New Roman" w:hAnsi="Times New Roman" w:cs="Times New Roman"/>
          <w:bCs/>
          <w:sz w:val="32"/>
          <w:szCs w:val="32"/>
        </w:rPr>
        <w:t>第五部分 附件</w:t>
      </w:r>
    </w:p>
    <w:p>
      <w:pPr>
        <w:pStyle w:val="15"/>
        <w:spacing w:line="600" w:lineRule="exact"/>
        <w:rPr>
          <w:rFonts w:ascii="Times New Roman" w:hAnsi="Times New Roman" w:cs="Times New Roman"/>
          <w:bCs/>
          <w:sz w:val="28"/>
          <w:szCs w:val="28"/>
        </w:rPr>
      </w:pPr>
    </w:p>
    <w:p>
      <w:pPr>
        <w:jc w:val="center"/>
        <w:rPr>
          <w:rFonts w:ascii="Times New Roman" w:hAnsi="Times New Roman" w:cs="Times New Roman"/>
          <w:sz w:val="72"/>
          <w:szCs w:val="72"/>
        </w:rPr>
      </w:pPr>
    </w:p>
    <w:p>
      <w:pPr>
        <w:jc w:val="center"/>
        <w:rPr>
          <w:rFonts w:ascii="Times New Roman" w:hAnsi="Times New Roman" w:cs="Times New Roman"/>
          <w:sz w:val="72"/>
          <w:szCs w:val="72"/>
        </w:rPr>
      </w:pPr>
    </w:p>
    <w:p>
      <w:pPr>
        <w:jc w:val="center"/>
        <w:rPr>
          <w:rFonts w:ascii="Times New Roman" w:hAnsi="Times New Roman" w:cs="Times New Roman"/>
          <w:sz w:val="72"/>
          <w:szCs w:val="72"/>
        </w:rPr>
      </w:pPr>
    </w:p>
    <w:p>
      <w:pPr>
        <w:pStyle w:val="6"/>
        <w:sectPr>
          <w:footerReference r:id="rId4" w:type="default"/>
          <w:pgSz w:w="11906" w:h="16838"/>
          <w:pgMar w:top="1417" w:right="1588" w:bottom="1417" w:left="1588" w:header="851" w:footer="992" w:gutter="0"/>
          <w:pgNumType w:start="1"/>
          <w:cols w:space="720" w:num="1"/>
          <w:docGrid w:type="lines" w:linePitch="312" w:charSpace="0"/>
        </w:sectPr>
      </w:pPr>
    </w:p>
    <w:p>
      <w:pPr>
        <w:rPr>
          <w:rFonts w:ascii="Times New Roman" w:hAnsi="Times New Roman" w:eastAsia="方正小标宋_GBK" w:cs="Times New Roman"/>
          <w:sz w:val="72"/>
          <w:szCs w:val="72"/>
        </w:rPr>
      </w:pPr>
    </w:p>
    <w:p>
      <w:pPr>
        <w:pStyle w:val="15"/>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第一部分</w:t>
      </w:r>
    </w:p>
    <w:p>
      <w:pPr>
        <w:pStyle w:val="15"/>
        <w:spacing w:line="360" w:lineRule="auto"/>
        <w:jc w:val="center"/>
        <w:rPr>
          <w:rFonts w:ascii="Times New Roman" w:hAnsi="Times New Roman" w:eastAsia="方正小标宋_GBK" w:cs="Times New Roman"/>
          <w:sz w:val="52"/>
          <w:szCs w:val="52"/>
        </w:rPr>
      </w:pPr>
      <w:r>
        <w:rPr>
          <w:rFonts w:hint="eastAsia" w:ascii="Times New Roman" w:hAnsi="Times New Roman" w:eastAsia="方正小标宋_GBK" w:cs="Times New Roman"/>
          <w:sz w:val="52"/>
          <w:szCs w:val="52"/>
          <w:lang w:eastAsia="zh-CN"/>
        </w:rPr>
        <w:t>衡阳县劳动</w:t>
      </w:r>
      <w:r>
        <w:rPr>
          <w:rFonts w:hint="eastAsia" w:ascii="Times New Roman" w:hAnsi="Times New Roman" w:eastAsia="方正小标宋_GBK" w:cs="Times New Roman"/>
          <w:sz w:val="52"/>
          <w:szCs w:val="52"/>
          <w:lang w:val="en-US" w:eastAsia="zh-CN"/>
        </w:rPr>
        <w:t>人事争议仲裁院</w:t>
      </w:r>
      <w:r>
        <w:rPr>
          <w:rFonts w:ascii="Times New Roman" w:hAnsi="Times New Roman" w:eastAsia="方正小标宋_GBK" w:cs="Times New Roman"/>
          <w:sz w:val="52"/>
          <w:szCs w:val="52"/>
        </w:rPr>
        <w:t>概况</w:t>
      </w:r>
    </w:p>
    <w:p>
      <w:pPr>
        <w:pStyle w:val="7"/>
        <w:ind w:left="0" w:leftChars="0" w:firstLine="0" w:firstLineChars="0"/>
        <w:rPr>
          <w:rFonts w:ascii="Times New Roman" w:hAnsi="Times New Roman" w:cs="Times New Roman"/>
        </w:rPr>
      </w:pPr>
    </w:p>
    <w:p>
      <w:pPr>
        <w:pStyle w:val="16"/>
        <w:numPr>
          <w:ilvl w:val="0"/>
          <w:numId w:val="1"/>
        </w:numPr>
        <w:spacing w:line="600" w:lineRule="exact"/>
        <w:ind w:firstLine="0" w:firstLineChars="0"/>
        <w:jc w:val="left"/>
        <w:rPr>
          <w:rFonts w:ascii="Times New Roman" w:hAnsi="Times New Roman" w:eastAsia="黑体" w:cs="Times New Roman"/>
          <w:sz w:val="32"/>
          <w:szCs w:val="32"/>
        </w:rPr>
      </w:pPr>
      <w:r>
        <w:rPr>
          <w:rFonts w:ascii="Times New Roman" w:hAnsi="Times New Roman" w:eastAsia="黑体" w:cs="Times New Roman"/>
          <w:sz w:val="32"/>
          <w:szCs w:val="32"/>
        </w:rPr>
        <w:t>部门职责</w:t>
      </w:r>
    </w:p>
    <w:p>
      <w:pPr>
        <w:pStyle w:val="16"/>
        <w:numPr>
          <w:ilvl w:val="0"/>
          <w:numId w:val="0"/>
        </w:numPr>
        <w:spacing w:line="600" w:lineRule="exact"/>
        <w:jc w:val="left"/>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衡阳县劳动争议仲裁院的主要职责是：</w:t>
      </w:r>
    </w:p>
    <w:p>
      <w:pPr>
        <w:pStyle w:val="16"/>
        <w:numPr>
          <w:ilvl w:val="0"/>
          <w:numId w:val="0"/>
        </w:numPr>
        <w:spacing w:line="600" w:lineRule="exact"/>
        <w:jc w:val="left"/>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1.贯彻执行人力资源和社会保障有关法律法规；</w:t>
      </w:r>
    </w:p>
    <w:p>
      <w:pPr>
        <w:pStyle w:val="16"/>
        <w:numPr>
          <w:ilvl w:val="0"/>
          <w:numId w:val="0"/>
        </w:numPr>
        <w:spacing w:line="600" w:lineRule="exact"/>
        <w:jc w:val="left"/>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2.负责拟定和实施全县劳动人事争议仲裁工作中长期规划；</w:t>
      </w:r>
    </w:p>
    <w:p>
      <w:pPr>
        <w:pStyle w:val="16"/>
        <w:numPr>
          <w:ilvl w:val="0"/>
          <w:numId w:val="0"/>
        </w:numPr>
        <w:spacing w:line="600" w:lineRule="exact"/>
        <w:jc w:val="left"/>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3.负责处理县本级管辖范围内的劳动人事争议案件；</w:t>
      </w:r>
    </w:p>
    <w:p>
      <w:pPr>
        <w:pStyle w:val="16"/>
        <w:numPr>
          <w:ilvl w:val="0"/>
          <w:numId w:val="0"/>
        </w:numPr>
        <w:spacing w:line="600" w:lineRule="exact"/>
        <w:jc w:val="left"/>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4.负责指导全县区域性、行业性和企业劳动争议调解组织</w:t>
      </w:r>
    </w:p>
    <w:p>
      <w:pPr>
        <w:pStyle w:val="16"/>
        <w:numPr>
          <w:ilvl w:val="0"/>
          <w:numId w:val="0"/>
        </w:numPr>
        <w:spacing w:line="600" w:lineRule="exact"/>
        <w:jc w:val="left"/>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工作；</w:t>
      </w:r>
    </w:p>
    <w:p>
      <w:pPr>
        <w:pStyle w:val="16"/>
        <w:numPr>
          <w:ilvl w:val="0"/>
          <w:numId w:val="0"/>
        </w:numPr>
        <w:spacing w:line="600" w:lineRule="exact"/>
        <w:jc w:val="left"/>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5.负责培训和评聘劳动人事争议专、兼职仲裁员和调解员；</w:t>
      </w:r>
    </w:p>
    <w:p>
      <w:pPr>
        <w:pStyle w:val="16"/>
        <w:numPr>
          <w:ilvl w:val="0"/>
          <w:numId w:val="0"/>
        </w:numPr>
        <w:spacing w:line="600" w:lineRule="exact"/>
        <w:jc w:val="left"/>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6.承担县劳动人事争议仲裁委员会日常工作及县人力资源</w:t>
      </w:r>
    </w:p>
    <w:p>
      <w:pPr>
        <w:pStyle w:val="16"/>
        <w:numPr>
          <w:ilvl w:val="0"/>
          <w:numId w:val="0"/>
        </w:numPr>
        <w:spacing w:line="600" w:lineRule="exact"/>
        <w:jc w:val="left"/>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和社会保障局交办的其他工作。</w:t>
      </w:r>
    </w:p>
    <w:p>
      <w:pPr>
        <w:widowControl/>
        <w:spacing w:line="60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二、机构设置及决算单位构成</w:t>
      </w:r>
    </w:p>
    <w:p>
      <w:pPr>
        <w:spacing w:line="570" w:lineRule="atLeast"/>
        <w:rPr>
          <w:rFonts w:hint="eastAsia" w:ascii="Times New Roman" w:hAnsi="Times New Roman" w:eastAsia="仿宋_GB2312" w:cs="Times New Roman"/>
          <w:bCs/>
          <w:kern w:val="0"/>
          <w:sz w:val="32"/>
          <w:szCs w:val="32"/>
          <w:lang w:eastAsia="zh-CN"/>
        </w:rPr>
      </w:pPr>
      <w:bookmarkStart w:id="0" w:name="ORG_SET"/>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lang w:val="en-US" w:eastAsia="zh-CN"/>
        </w:rPr>
        <w:t>一</w:t>
      </w:r>
      <w:r>
        <w:rPr>
          <w:rFonts w:hint="eastAsia" w:ascii="仿宋_GB2312" w:hAnsi="仿宋_GB2312" w:eastAsia="仿宋_GB2312" w:cs="仿宋_GB2312"/>
          <w:color w:val="000000"/>
          <w:sz w:val="32"/>
          <w:szCs w:val="32"/>
          <w:shd w:val="clear" w:color="auto" w:fill="FFFFFF"/>
          <w:lang w:eastAsia="zh-CN"/>
        </w:rPr>
        <w:t>）</w:t>
      </w:r>
      <w:r>
        <w:rPr>
          <w:rFonts w:ascii="Times New Roman" w:hAnsi="Times New Roman" w:eastAsia="仿宋_GB2312" w:cs="Times New Roman"/>
          <w:bCs/>
          <w:kern w:val="0"/>
          <w:sz w:val="32"/>
          <w:szCs w:val="32"/>
        </w:rPr>
        <w:t>内设机构设置</w:t>
      </w:r>
      <w:bookmarkEnd w:id="0"/>
      <w:r>
        <w:rPr>
          <w:rFonts w:hint="eastAsia" w:ascii="Times New Roman" w:hAnsi="Times New Roman" w:eastAsia="仿宋_GB2312" w:cs="Times New Roman"/>
          <w:bCs/>
          <w:kern w:val="0"/>
          <w:sz w:val="32"/>
          <w:szCs w:val="32"/>
          <w:lang w:eastAsia="zh-CN"/>
        </w:rPr>
        <w:t>。</w:t>
      </w:r>
    </w:p>
    <w:p>
      <w:pPr>
        <w:pStyle w:val="2"/>
        <w:rPr>
          <w:rFonts w:hint="eastAsia" w:ascii="仿宋_GB2312" w:hAnsi="仿宋_GB2312" w:eastAsia="仿宋_GB2312" w:cs="仿宋_GB2312"/>
          <w:color w:val="000000"/>
          <w:kern w:val="2"/>
          <w:sz w:val="32"/>
          <w:szCs w:val="32"/>
          <w:shd w:val="clear" w:color="auto" w:fill="FFFFFF"/>
          <w:lang w:val="en-US" w:eastAsia="zh-CN" w:bidi="ar-SA"/>
        </w:rPr>
      </w:pPr>
      <w:r>
        <w:rPr>
          <w:rFonts w:hint="eastAsia" w:ascii="仿宋_GB2312" w:hAnsi="仿宋_GB2312" w:eastAsia="仿宋_GB2312" w:cs="仿宋_GB2312"/>
          <w:color w:val="000000"/>
          <w:kern w:val="2"/>
          <w:sz w:val="32"/>
          <w:szCs w:val="32"/>
          <w:shd w:val="clear" w:color="auto" w:fill="FFFFFF"/>
          <w:lang w:val="en-US" w:eastAsia="zh-CN" w:bidi="ar-SA"/>
        </w:rPr>
        <w:t>根据上述职责，县劳动人事争议仲裁院设 3 个内设机构</w:t>
      </w:r>
    </w:p>
    <w:p>
      <w:pPr>
        <w:pStyle w:val="2"/>
        <w:rPr>
          <w:rFonts w:hint="eastAsia" w:ascii="仿宋_GB2312" w:hAnsi="仿宋_GB2312" w:eastAsia="仿宋_GB2312" w:cs="仿宋_GB2312"/>
          <w:color w:val="000000"/>
          <w:kern w:val="2"/>
          <w:sz w:val="32"/>
          <w:szCs w:val="32"/>
          <w:shd w:val="clear" w:color="auto" w:fill="FFFFFF"/>
          <w:lang w:val="en-US" w:eastAsia="zh-CN" w:bidi="ar-SA"/>
        </w:rPr>
      </w:pPr>
      <w:r>
        <w:rPr>
          <w:rFonts w:hint="eastAsia" w:ascii="仿宋_GB2312" w:hAnsi="仿宋_GB2312" w:eastAsia="仿宋_GB2312" w:cs="仿宋_GB2312"/>
          <w:color w:val="000000"/>
          <w:kern w:val="2"/>
          <w:sz w:val="32"/>
          <w:szCs w:val="32"/>
          <w:shd w:val="clear" w:color="auto" w:fill="FFFFFF"/>
          <w:lang w:val="en-US" w:eastAsia="zh-CN" w:bidi="ar-SA"/>
        </w:rPr>
        <w:t>1.办公室</w:t>
      </w:r>
    </w:p>
    <w:p>
      <w:pPr>
        <w:pStyle w:val="2"/>
        <w:rPr>
          <w:rFonts w:hint="eastAsia" w:ascii="仿宋_GB2312" w:hAnsi="仿宋_GB2312" w:eastAsia="仿宋_GB2312" w:cs="仿宋_GB2312"/>
          <w:color w:val="000000"/>
          <w:kern w:val="2"/>
          <w:sz w:val="32"/>
          <w:szCs w:val="32"/>
          <w:shd w:val="clear" w:color="auto" w:fill="FFFFFF"/>
          <w:lang w:val="en-US" w:eastAsia="zh-CN" w:bidi="ar-SA"/>
        </w:rPr>
      </w:pPr>
      <w:r>
        <w:rPr>
          <w:rFonts w:hint="eastAsia" w:ascii="仿宋_GB2312" w:hAnsi="仿宋_GB2312" w:eastAsia="仿宋_GB2312" w:cs="仿宋_GB2312"/>
          <w:color w:val="000000"/>
          <w:kern w:val="2"/>
          <w:sz w:val="32"/>
          <w:szCs w:val="32"/>
          <w:shd w:val="clear" w:color="auto" w:fill="FFFFFF"/>
          <w:lang w:val="en-US" w:eastAsia="zh-CN" w:bidi="ar-SA"/>
        </w:rPr>
        <w:t>负责制订本县劳动人事争议仲仲裁工作年度规划，并组织</w:t>
      </w:r>
    </w:p>
    <w:p>
      <w:pPr>
        <w:pStyle w:val="2"/>
        <w:rPr>
          <w:rFonts w:hint="eastAsia" w:ascii="仿宋_GB2312" w:hAnsi="仿宋_GB2312" w:eastAsia="仿宋_GB2312" w:cs="仿宋_GB2312"/>
          <w:color w:val="000000"/>
          <w:kern w:val="2"/>
          <w:sz w:val="32"/>
          <w:szCs w:val="32"/>
          <w:shd w:val="clear" w:color="auto" w:fill="FFFFFF"/>
          <w:lang w:val="en-US" w:eastAsia="zh-CN" w:bidi="ar-SA"/>
        </w:rPr>
      </w:pPr>
      <w:r>
        <w:rPr>
          <w:rFonts w:hint="eastAsia" w:ascii="仿宋_GB2312" w:hAnsi="仿宋_GB2312" w:eastAsia="仿宋_GB2312" w:cs="仿宋_GB2312"/>
          <w:color w:val="000000"/>
          <w:kern w:val="2"/>
          <w:sz w:val="32"/>
          <w:szCs w:val="32"/>
          <w:shd w:val="clear" w:color="auto" w:fill="FFFFFF"/>
          <w:lang w:val="en-US" w:eastAsia="zh-CN" w:bidi="ar-SA"/>
        </w:rPr>
        <w:t>实施；负责做好院里文字起草、信息收集、信访接待、统计报表、上传下达等日常事务工作及后勤服务工作；负责调解、庭审纪录和开庭前辅助性工作；承担法律文书校对、装订、送达，案卷材料的整理和归档工作；负责监督劳动人事争议案件处理工作；完成上级和院里交办的其他工作。</w:t>
      </w:r>
    </w:p>
    <w:p>
      <w:pPr>
        <w:pStyle w:val="2"/>
        <w:rPr>
          <w:rFonts w:hint="eastAsia" w:ascii="仿宋_GB2312" w:hAnsi="仿宋_GB2312" w:eastAsia="仿宋_GB2312" w:cs="仿宋_GB2312"/>
          <w:color w:val="000000"/>
          <w:kern w:val="2"/>
          <w:sz w:val="32"/>
          <w:szCs w:val="32"/>
          <w:shd w:val="clear" w:color="auto" w:fill="FFFFFF"/>
          <w:lang w:val="en-US" w:eastAsia="zh-CN" w:bidi="ar-SA"/>
        </w:rPr>
      </w:pPr>
      <w:r>
        <w:rPr>
          <w:rFonts w:hint="eastAsia" w:ascii="仿宋_GB2312" w:hAnsi="仿宋_GB2312" w:eastAsia="仿宋_GB2312" w:cs="仿宋_GB2312"/>
          <w:color w:val="000000"/>
          <w:kern w:val="2"/>
          <w:sz w:val="32"/>
          <w:szCs w:val="32"/>
          <w:shd w:val="clear" w:color="auto" w:fill="FFFFFF"/>
          <w:lang w:val="en-US" w:eastAsia="zh-CN" w:bidi="ar-SA"/>
        </w:rPr>
        <w:t>2.立案庭</w:t>
      </w:r>
    </w:p>
    <w:p>
      <w:pPr>
        <w:pStyle w:val="2"/>
        <w:rPr>
          <w:rFonts w:hint="eastAsia" w:ascii="仿宋_GB2312" w:hAnsi="仿宋_GB2312" w:eastAsia="仿宋_GB2312" w:cs="仿宋_GB2312"/>
          <w:color w:val="000000"/>
          <w:kern w:val="2"/>
          <w:sz w:val="32"/>
          <w:szCs w:val="32"/>
          <w:shd w:val="clear" w:color="auto" w:fill="FFFFFF"/>
          <w:lang w:val="en-US" w:eastAsia="zh-CN" w:bidi="ar-SA"/>
        </w:rPr>
      </w:pPr>
      <w:r>
        <w:rPr>
          <w:rFonts w:hint="eastAsia" w:ascii="仿宋_GB2312" w:hAnsi="仿宋_GB2312" w:eastAsia="仿宋_GB2312" w:cs="仿宋_GB2312"/>
          <w:color w:val="000000"/>
          <w:kern w:val="2"/>
          <w:sz w:val="32"/>
          <w:szCs w:val="32"/>
          <w:shd w:val="clear" w:color="auto" w:fill="FFFFFF"/>
          <w:lang w:val="en-US" w:eastAsia="zh-CN" w:bidi="ar-SA"/>
        </w:rPr>
        <w:t>负责劳动人事争议案件的收件、审查、受理、立案工作；</w:t>
      </w:r>
    </w:p>
    <w:p>
      <w:pPr>
        <w:pStyle w:val="2"/>
        <w:rPr>
          <w:rFonts w:hint="eastAsia" w:ascii="仿宋_GB2312" w:hAnsi="仿宋_GB2312" w:eastAsia="仿宋_GB2312" w:cs="仿宋_GB2312"/>
          <w:color w:val="000000"/>
          <w:kern w:val="2"/>
          <w:sz w:val="32"/>
          <w:szCs w:val="32"/>
          <w:shd w:val="clear" w:color="auto" w:fill="FFFFFF"/>
          <w:lang w:val="en-US" w:eastAsia="zh-CN" w:bidi="ar-SA"/>
        </w:rPr>
      </w:pPr>
      <w:r>
        <w:rPr>
          <w:rFonts w:hint="eastAsia" w:ascii="仿宋_GB2312" w:hAnsi="仿宋_GB2312" w:eastAsia="仿宋_GB2312" w:cs="仿宋_GB2312"/>
          <w:color w:val="000000"/>
          <w:kern w:val="2"/>
          <w:sz w:val="32"/>
          <w:szCs w:val="32"/>
          <w:shd w:val="clear" w:color="auto" w:fill="FFFFFF"/>
          <w:lang w:val="en-US" w:eastAsia="zh-CN" w:bidi="ar-SA"/>
        </w:rPr>
        <w:t>负责入力资源与社会保障法律、法规、政策宣传及咨询解释工作；负责立案前劳动人事争议案件的调解工作；完成上级和院里交办的其他工作。</w:t>
      </w:r>
    </w:p>
    <w:p>
      <w:pPr>
        <w:pStyle w:val="2"/>
        <w:rPr>
          <w:rFonts w:hint="eastAsia" w:ascii="仿宋_GB2312" w:hAnsi="仿宋_GB2312" w:eastAsia="仿宋_GB2312" w:cs="仿宋_GB2312"/>
          <w:color w:val="000000"/>
          <w:kern w:val="2"/>
          <w:sz w:val="32"/>
          <w:szCs w:val="32"/>
          <w:shd w:val="clear" w:color="auto" w:fill="FFFFFF"/>
          <w:lang w:val="en-US" w:eastAsia="zh-CN" w:bidi="ar-SA"/>
        </w:rPr>
      </w:pPr>
      <w:r>
        <w:rPr>
          <w:rFonts w:hint="eastAsia" w:ascii="仿宋_GB2312" w:hAnsi="仿宋_GB2312" w:eastAsia="仿宋_GB2312" w:cs="仿宋_GB2312"/>
          <w:color w:val="000000"/>
          <w:kern w:val="2"/>
          <w:sz w:val="32"/>
          <w:szCs w:val="32"/>
          <w:shd w:val="clear" w:color="auto" w:fill="FFFFFF"/>
          <w:lang w:val="en-US" w:eastAsia="zh-CN" w:bidi="ar-SA"/>
        </w:rPr>
        <w:t>3.调解仲裁庭</w:t>
      </w:r>
    </w:p>
    <w:p>
      <w:pPr>
        <w:pStyle w:val="2"/>
        <w:rPr>
          <w:rFonts w:hint="eastAsia" w:ascii="仿宋_GB2312" w:hAnsi="仿宋_GB2312" w:eastAsia="仿宋_GB2312" w:cs="仿宋_GB2312"/>
          <w:color w:val="000000"/>
          <w:kern w:val="2"/>
          <w:sz w:val="32"/>
          <w:szCs w:val="32"/>
          <w:shd w:val="clear" w:color="auto" w:fill="FFFFFF"/>
          <w:lang w:val="en-US" w:eastAsia="zh-CN" w:bidi="ar-SA"/>
        </w:rPr>
      </w:pPr>
      <w:r>
        <w:rPr>
          <w:rFonts w:hint="eastAsia" w:ascii="仿宋_GB2312" w:hAnsi="仿宋_GB2312" w:eastAsia="仿宋_GB2312" w:cs="仿宋_GB2312"/>
          <w:color w:val="000000"/>
          <w:kern w:val="2"/>
          <w:sz w:val="32"/>
          <w:szCs w:val="32"/>
          <w:shd w:val="clear" w:color="auto" w:fill="FFFFFF"/>
          <w:lang w:val="en-US" w:eastAsia="zh-CN" w:bidi="ar-SA"/>
        </w:rPr>
        <w:t>负责各类劳动人事争议案件的调解、审理、裁决和调解文</w:t>
      </w:r>
    </w:p>
    <w:p>
      <w:pPr>
        <w:pStyle w:val="2"/>
        <w:rPr>
          <w:rFonts w:hint="eastAsia" w:ascii="仿宋_GB2312" w:hAnsi="仿宋_GB2312" w:eastAsia="仿宋_GB2312" w:cs="仿宋_GB2312"/>
          <w:color w:val="000000"/>
          <w:kern w:val="2"/>
          <w:sz w:val="32"/>
          <w:szCs w:val="32"/>
          <w:shd w:val="clear" w:color="auto" w:fill="FFFFFF"/>
          <w:lang w:val="en-US" w:eastAsia="zh-CN" w:bidi="ar-SA"/>
        </w:rPr>
      </w:pPr>
      <w:r>
        <w:rPr>
          <w:rFonts w:hint="eastAsia" w:ascii="仿宋_GB2312" w:hAnsi="仿宋_GB2312" w:eastAsia="仿宋_GB2312" w:cs="仿宋_GB2312"/>
          <w:color w:val="000000"/>
          <w:kern w:val="2"/>
          <w:sz w:val="32"/>
          <w:szCs w:val="32"/>
          <w:shd w:val="clear" w:color="auto" w:fill="FFFFFF"/>
          <w:lang w:val="en-US" w:eastAsia="zh-CN" w:bidi="ar-SA"/>
        </w:rPr>
        <w:t>书、仲裁文书制作等工作；完成上级交办、外地委托的劳动人事争议案件调查处理工作；参与全县重大涉稳劳动人事争议案件和集体劳动人事争议案件的调处工作；负责指导乡镇、企业等基层劳动争议调解委员会工作，评聘和培训基层劳动争议调解员；负责全县劳动人事争议仲裁员队伍建设工作，培训专、</w:t>
      </w:r>
    </w:p>
    <w:p>
      <w:pPr>
        <w:pStyle w:val="2"/>
        <w:rPr>
          <w:rFonts w:hint="eastAsia" w:ascii="仿宋_GB2312" w:hAnsi="仿宋_GB2312" w:eastAsia="仿宋_GB2312" w:cs="仿宋_GB2312"/>
          <w:color w:val="000000"/>
          <w:kern w:val="2"/>
          <w:sz w:val="32"/>
          <w:szCs w:val="32"/>
          <w:shd w:val="clear" w:color="auto" w:fill="FFFFFF"/>
          <w:lang w:val="en-US" w:eastAsia="zh-CN" w:bidi="ar-SA"/>
        </w:rPr>
      </w:pPr>
      <w:r>
        <w:rPr>
          <w:rFonts w:hint="eastAsia" w:ascii="仿宋_GB2312" w:hAnsi="仿宋_GB2312" w:eastAsia="仿宋_GB2312" w:cs="仿宋_GB2312"/>
          <w:color w:val="000000"/>
          <w:kern w:val="2"/>
          <w:sz w:val="32"/>
          <w:szCs w:val="32"/>
          <w:shd w:val="clear" w:color="auto" w:fill="FFFFFF"/>
          <w:lang w:val="en-US" w:eastAsia="zh-CN" w:bidi="ar-SA"/>
        </w:rPr>
        <w:t>兼职劳动人事争议仲裁员；负责专职劳动人事争议仲裁员资格、聘用的初审工作，并将评审结果报县劳动人事争议仲裁委员会审定；完成上级和院里交办的其他工作。</w:t>
      </w:r>
    </w:p>
    <w:p>
      <w:pPr>
        <w:spacing w:line="570" w:lineRule="atLeast"/>
        <w:ind w:firstLine="640"/>
        <w:rPr>
          <w:rFonts w:hint="eastAsia" w:ascii="仿宋_GB2312" w:hAnsi="仿宋_GB2312" w:eastAsia="仿宋_GB2312" w:cs="仿宋_GB2312"/>
          <w:color w:val="000000"/>
          <w:sz w:val="32"/>
          <w:szCs w:val="32"/>
          <w:shd w:val="clear" w:color="auto" w:fill="FFFFFF"/>
        </w:rPr>
      </w:pPr>
      <w:bookmarkStart w:id="1" w:name="DEPT_COMPOSE"/>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lang w:val="en-US" w:eastAsia="zh-CN"/>
        </w:rPr>
        <w:t>二</w:t>
      </w:r>
      <w:r>
        <w:rPr>
          <w:rFonts w:hint="eastAsia" w:ascii="仿宋_GB2312" w:hAnsi="仿宋_GB2312" w:eastAsia="仿宋_GB2312" w:cs="仿宋_GB2312"/>
          <w:color w:val="000000"/>
          <w:sz w:val="32"/>
          <w:szCs w:val="32"/>
          <w:shd w:val="clear" w:color="auto" w:fill="FFFFFF"/>
          <w:lang w:eastAsia="zh-CN"/>
        </w:rPr>
        <w:t>）</w:t>
      </w:r>
      <w:r>
        <w:rPr>
          <w:rFonts w:ascii="Times New Roman" w:hAnsi="Times New Roman" w:eastAsia="仿宋_GB2312" w:cs="Times New Roman"/>
          <w:bCs/>
          <w:kern w:val="0"/>
          <w:sz w:val="32"/>
          <w:szCs w:val="32"/>
        </w:rPr>
        <w:t>决算单位构成。</w:t>
      </w:r>
      <w:r>
        <w:rPr>
          <w:rFonts w:hint="eastAsia" w:ascii="仿宋_GB2312" w:hAnsi="仿宋_GB2312" w:eastAsia="仿宋_GB2312" w:cs="仿宋_GB2312"/>
          <w:color w:val="000000"/>
          <w:sz w:val="32"/>
          <w:szCs w:val="32"/>
          <w:shd w:val="clear" w:color="auto" w:fill="FFFFFF"/>
        </w:rPr>
        <w:t>衡阳县劳动争议仲裁院部门只有本级，没有其他二级预算单位，因此，纳入202</w:t>
      </w:r>
      <w:r>
        <w:rPr>
          <w:rFonts w:hint="eastAsia" w:ascii="仿宋_GB2312" w:hAnsi="仿宋_GB2312" w:eastAsia="仿宋_GB2312" w:cs="仿宋_GB2312"/>
          <w:color w:val="000000"/>
          <w:sz w:val="32"/>
          <w:szCs w:val="32"/>
          <w:shd w:val="clear" w:color="auto" w:fill="FFFFFF"/>
          <w:lang w:val="en-US" w:eastAsia="zh-CN"/>
        </w:rPr>
        <w:t>4</w:t>
      </w:r>
      <w:r>
        <w:rPr>
          <w:rFonts w:hint="eastAsia" w:ascii="仿宋_GB2312" w:hAnsi="仿宋_GB2312" w:eastAsia="仿宋_GB2312" w:cs="仿宋_GB2312"/>
          <w:color w:val="000000"/>
          <w:sz w:val="32"/>
          <w:szCs w:val="32"/>
          <w:shd w:val="clear" w:color="auto" w:fill="FFFFFF"/>
        </w:rPr>
        <w:t>年部门预算编制范围的只有衡阳县劳动争议仲裁院本级。</w:t>
      </w:r>
      <w:bookmarkEnd w:id="1"/>
    </w:p>
    <w:p>
      <w:pPr>
        <w:pStyle w:val="2"/>
        <w:rPr>
          <w:rFonts w:hint="eastAsia" w:ascii="仿宋_GB2312" w:hAnsi="仿宋_GB2312" w:eastAsia="仿宋_GB2312" w:cs="仿宋_GB2312"/>
          <w:color w:val="000000"/>
          <w:sz w:val="32"/>
          <w:szCs w:val="32"/>
          <w:shd w:val="clear" w:color="auto" w:fill="FFFFFF"/>
          <w:lang w:val="en-US" w:eastAsia="zh-CN"/>
        </w:rPr>
      </w:pPr>
    </w:p>
    <w:p>
      <w:pPr>
        <w:pStyle w:val="6"/>
      </w:pPr>
    </w:p>
    <w:p>
      <w:pPr>
        <w:pStyle w:val="7"/>
        <w:sectPr>
          <w:footerReference r:id="rId5" w:type="default"/>
          <w:pgSz w:w="11906" w:h="16838"/>
          <w:pgMar w:top="1417" w:right="1588" w:bottom="1417" w:left="1588" w:header="851" w:footer="992" w:gutter="0"/>
          <w:pgNumType w:start="1"/>
          <w:cols w:space="720" w:num="1"/>
          <w:docGrid w:type="lines" w:linePitch="312" w:charSpace="0"/>
        </w:sectPr>
      </w:pPr>
    </w:p>
    <w:p>
      <w:pPr>
        <w:pStyle w:val="15"/>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第二部分    部门决算表</w:t>
      </w:r>
    </w:p>
    <w:tbl>
      <w:tblPr>
        <w:tblStyle w:val="10"/>
        <w:tblW w:w="1517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96"/>
        <w:gridCol w:w="895"/>
        <w:gridCol w:w="1045"/>
        <w:gridCol w:w="4796"/>
        <w:gridCol w:w="895"/>
        <w:gridCol w:w="2204"/>
        <w:gridCol w:w="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5171" w:type="dxa"/>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9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89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04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479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89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20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9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部门：衡阳县劳动人事争议仲裁院</w:t>
            </w:r>
          </w:p>
        </w:tc>
        <w:tc>
          <w:tcPr>
            <w:tcW w:w="89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04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479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89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20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36"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7895"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87.87</w:t>
            </w: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9.44</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68.49</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4.47</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10.20</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center"/>
              <w:rPr>
                <w:rFonts w:hint="eastAsia" w:ascii="宋体" w:hAnsi="宋体" w:eastAsia="宋体" w:cs="宋体"/>
                <w:b/>
                <w:bCs/>
                <w:i w:val="0"/>
                <w:iCs w:val="0"/>
                <w:color w:val="000000"/>
                <w:sz w:val="20"/>
                <w:szCs w:val="20"/>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92.87</w:t>
            </w: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98.07</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使用非财政拨款结余（含专用结余）</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5.20</w:t>
            </w: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98.07</w:t>
            </w:r>
          </w:p>
        </w:tc>
        <w:tc>
          <w:tcPr>
            <w:tcW w:w="479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89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98.07</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931" w:type="dxa"/>
            <w:gridSpan w:val="6"/>
            <w:tcBorders>
              <w:top w:val="single" w:color="D4D4D4" w:sz="4" w:space="0"/>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注：1.本表反映部门本年度的总收支和年末结转结余情况。</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931" w:type="dxa"/>
            <w:gridSpan w:val="6"/>
            <w:tcBorders>
              <w:top w:val="nil"/>
              <w:left w:val="nil"/>
              <w:bottom w:val="nil"/>
              <w:right w:val="nil"/>
            </w:tcBorders>
            <w:shd w:val="clear" w:color="auto" w:fill="auto"/>
            <w:noWrap/>
            <w:vAlign w:val="center"/>
          </w:tcPr>
          <w:p>
            <w:pPr>
              <w:keepNext w:val="0"/>
              <w:keepLines w:val="0"/>
              <w:widowControl/>
              <w:numPr>
                <w:numId w:val="0"/>
              </w:numPr>
              <w:suppressLineNumbers w:val="0"/>
              <w:tabs>
                <w:tab w:val="left" w:pos="5617"/>
              </w:tabs>
              <w:ind w:left="420" w:leftChars="0"/>
              <w:jc w:val="left"/>
              <w:textAlignment w:val="center"/>
              <w:rPr>
                <w:rFonts w:hint="eastAsia"/>
                <w:lang w:val="en-US" w:eastAsia="zh-CN"/>
              </w:rPr>
            </w:pPr>
            <w:r>
              <w:rPr>
                <w:rFonts w:hint="eastAsia"/>
                <w:lang w:val="en-US" w:eastAsia="zh-CN"/>
              </w:rPr>
              <w:t>2、本套报表金额单位转换时可能存在尾数误差。</w:t>
            </w:r>
            <w:r>
              <w:rPr>
                <w:rFonts w:hint="eastAsia"/>
                <w:lang w:val="en-US" w:eastAsia="zh-CN"/>
              </w:rPr>
              <w:tab/>
            </w:r>
          </w:p>
          <w:p>
            <w:pPr>
              <w:pStyle w:val="9"/>
              <w:numPr>
                <w:numId w:val="0"/>
              </w:numPr>
              <w:ind w:left="420" w:leftChars="0"/>
              <w:rPr>
                <w:rFonts w:hint="eastAsia"/>
              </w:rPr>
            </w:pPr>
            <w:r>
              <w:rPr>
                <w:rFonts w:hint="eastAsia"/>
                <w:lang w:val="en-US" w:eastAsia="zh-CN"/>
              </w:rPr>
              <w:t>3、表格中单元格空白表示数据为零。</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bl>
    <w:p>
      <w:pPr>
        <w:pStyle w:val="15"/>
        <w:jc w:val="center"/>
        <w:rPr>
          <w:rFonts w:ascii="Times New Roman" w:hAnsi="Times New Roman" w:eastAsia="方正小标宋_GBK" w:cs="Times New Roman"/>
          <w:sz w:val="52"/>
          <w:szCs w:val="52"/>
        </w:rPr>
      </w:pPr>
    </w:p>
    <w:p>
      <w:pPr>
        <w:pStyle w:val="15"/>
        <w:jc w:val="center"/>
        <w:rPr>
          <w:rFonts w:ascii="Times New Roman" w:hAnsi="Times New Roman" w:eastAsia="方正小标宋_GBK" w:cs="Times New Roman"/>
          <w:sz w:val="52"/>
          <w:szCs w:val="52"/>
        </w:rPr>
      </w:pPr>
    </w:p>
    <w:p>
      <w:pPr>
        <w:pStyle w:val="15"/>
        <w:jc w:val="center"/>
        <w:rPr>
          <w:rFonts w:ascii="Times New Roman" w:hAnsi="Times New Roman" w:eastAsia="方正小标宋_GBK" w:cs="Times New Roman"/>
          <w:sz w:val="52"/>
          <w:szCs w:val="52"/>
        </w:rPr>
      </w:pPr>
    </w:p>
    <w:p>
      <w:pPr>
        <w:pStyle w:val="15"/>
        <w:jc w:val="center"/>
        <w:rPr>
          <w:rFonts w:ascii="Times New Roman" w:hAnsi="Times New Roman" w:eastAsia="方正小标宋_GBK" w:cs="Times New Roman"/>
          <w:sz w:val="52"/>
          <w:szCs w:val="52"/>
        </w:rPr>
      </w:pPr>
    </w:p>
    <w:p>
      <w:pPr>
        <w:pStyle w:val="15"/>
        <w:jc w:val="center"/>
        <w:rPr>
          <w:rFonts w:ascii="Times New Roman" w:hAnsi="Times New Roman" w:eastAsia="方正小标宋_GBK" w:cs="Times New Roman"/>
          <w:sz w:val="52"/>
          <w:szCs w:val="52"/>
        </w:rPr>
      </w:pPr>
    </w:p>
    <w:p>
      <w:pPr>
        <w:pStyle w:val="15"/>
        <w:jc w:val="center"/>
        <w:rPr>
          <w:rFonts w:ascii="Times New Roman" w:hAnsi="Times New Roman" w:eastAsia="方正小标宋_GBK" w:cs="Times New Roman"/>
          <w:sz w:val="52"/>
          <w:szCs w:val="52"/>
        </w:rPr>
      </w:pPr>
    </w:p>
    <w:p>
      <w:pPr>
        <w:rPr>
          <w:rFonts w:ascii="Times New Roman" w:hAnsi="Times New Roman" w:eastAsia="华文中宋" w:cs="Times New Roman"/>
          <w:color w:val="000000"/>
          <w:sz w:val="32"/>
          <w:szCs w:val="32"/>
        </w:rPr>
      </w:pPr>
    </w:p>
    <w:p/>
    <w:p>
      <w:pPr>
        <w:rPr>
          <w:rFonts w:ascii="Times New Roman" w:hAnsi="Times New Roman" w:eastAsia="华文中宋" w:cs="Times New Roman"/>
          <w:color w:val="000000"/>
          <w:sz w:val="32"/>
          <w:szCs w:val="32"/>
        </w:rPr>
      </w:pPr>
    </w:p>
    <w:p>
      <w:pPr>
        <w:pStyle w:val="6"/>
        <w:rPr>
          <w:rFonts w:ascii="Times New Roman" w:hAnsi="Times New Roman" w:eastAsia="华文中宋" w:cs="Times New Roman"/>
          <w:color w:val="000000"/>
          <w:sz w:val="32"/>
          <w:szCs w:val="32"/>
        </w:rPr>
      </w:pPr>
      <w:r>
        <w:rPr>
          <w:rFonts w:ascii="Times New Roman" w:hAnsi="Times New Roman" w:eastAsia="华文中宋" w:cs="Times New Roman"/>
          <w:color w:val="000000"/>
          <w:sz w:val="32"/>
          <w:szCs w:val="32"/>
        </w:rPr>
        <w:object>
          <v:shape id="_x0000_i1025" o:spt="75" alt="" type="#_x0000_t75" style="height:337.55pt;width:699.65pt;" o:ole="t" filled="f" o:preferrelative="t" stroked="f" coordsize="21600,21600">
            <v:path/>
            <v:fill on="f" focussize="0,0"/>
            <v:stroke on="f"/>
            <v:imagedata r:id="rId8" o:title=""/>
            <o:lock v:ext="edit" aspectratio="f"/>
            <w10:wrap type="none"/>
            <w10:anchorlock/>
          </v:shape>
          <o:OLEObject Type="Embed" ProgID="Excel.Sheet.12" ShapeID="_x0000_i1025" DrawAspect="Content" ObjectID="_1468075725" r:id="rId7">
            <o:LockedField>false</o:LockedField>
          </o:OLEObject>
        </w:object>
      </w:r>
    </w:p>
    <w:p>
      <w:pPr>
        <w:pStyle w:val="7"/>
        <w:ind w:left="0" w:leftChars="0" w:firstLine="440" w:firstLineChars="200"/>
        <w:rPr>
          <w:sz w:val="22"/>
          <w:szCs w:val="22"/>
        </w:rPr>
      </w:pPr>
      <w:r>
        <w:rPr>
          <w:rFonts w:hint="eastAsia"/>
          <w:sz w:val="22"/>
          <w:szCs w:val="22"/>
          <w:lang w:val="en-US" w:eastAsia="zh-CN"/>
        </w:rPr>
        <w:t>2.表格中单元格空白表示数据为零。</w:t>
      </w:r>
    </w:p>
    <w:p>
      <w:pPr>
        <w:pStyle w:val="7"/>
        <w:rPr>
          <w:rFonts w:ascii="Times New Roman" w:hAnsi="Times New Roman" w:eastAsia="华文中宋" w:cs="Times New Roman"/>
          <w:color w:val="000000"/>
          <w:sz w:val="32"/>
          <w:szCs w:val="32"/>
        </w:rPr>
      </w:pPr>
    </w:p>
    <w:p>
      <w:pPr>
        <w:pStyle w:val="7"/>
        <w:ind w:left="320" w:leftChars="0" w:hanging="320" w:hangingChars="100"/>
        <w:rPr>
          <w:rFonts w:ascii="Times New Roman" w:hAnsi="Times New Roman" w:eastAsia="华文中宋" w:cs="Times New Roman"/>
          <w:color w:val="000000"/>
          <w:sz w:val="32"/>
          <w:szCs w:val="32"/>
        </w:rPr>
      </w:pPr>
      <w:r>
        <w:rPr>
          <w:rFonts w:ascii="Times New Roman" w:hAnsi="Times New Roman" w:eastAsia="华文中宋" w:cs="Times New Roman"/>
          <w:color w:val="000000"/>
          <w:sz w:val="32"/>
          <w:szCs w:val="32"/>
        </w:rPr>
        <w:object>
          <v:shape id="_x0000_i1026" o:spt="75" alt="" type="#_x0000_t75" style="height:376.05pt;width:699.4pt;" o:ole="t" filled="f" o:preferrelative="t" stroked="f" coordsize="21600,21600">
            <v:path/>
            <v:fill on="f" focussize="0,0"/>
            <v:stroke on="f"/>
            <v:imagedata r:id="rId10" o:title=""/>
            <o:lock v:ext="edit" aspectratio="f"/>
            <w10:wrap type="none"/>
            <w10:anchorlock/>
          </v:shape>
          <o:OLEObject Type="Embed" ProgID="Excel.Sheet.12" ShapeID="_x0000_i1026" DrawAspect="Content" ObjectID="_1468075726" r:id="rId9">
            <o:LockedField>false</o:LockedField>
          </o:OLEObject>
        </w:object>
      </w:r>
      <w:r>
        <w:rPr>
          <w:rFonts w:hint="eastAsia" w:ascii="Times New Roman" w:hAnsi="Times New Roman" w:eastAsia="华文中宋" w:cs="Times New Roman"/>
          <w:color w:val="000000"/>
          <w:sz w:val="32"/>
          <w:szCs w:val="32"/>
          <w:lang w:val="en-US" w:eastAsia="zh-CN"/>
        </w:rPr>
        <w:t xml:space="preserve"> </w:t>
      </w:r>
      <w:r>
        <w:rPr>
          <w:rFonts w:hint="eastAsia" w:ascii="宋体" w:hAnsi="宋体" w:eastAsia="宋体" w:cs="宋体"/>
          <w:color w:val="000000"/>
          <w:sz w:val="22"/>
          <w:szCs w:val="22"/>
          <w:lang w:val="en-US" w:eastAsia="zh-CN"/>
        </w:rPr>
        <w:t>2.</w:t>
      </w:r>
      <w:r>
        <w:rPr>
          <w:rFonts w:hint="eastAsia" w:ascii="宋体" w:hAnsi="宋体" w:eastAsia="宋体" w:cs="宋体"/>
          <w:sz w:val="22"/>
          <w:szCs w:val="22"/>
          <w:lang w:val="en-US" w:eastAsia="zh-CN"/>
        </w:rPr>
        <w:t>表格中单元格空白表示数据为零。</w:t>
      </w:r>
    </w:p>
    <w:tbl>
      <w:tblPr>
        <w:tblStyle w:val="10"/>
        <w:tblW w:w="15516" w:type="dxa"/>
        <w:tblInd w:w="-34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83"/>
        <w:gridCol w:w="717"/>
        <w:gridCol w:w="1333"/>
        <w:gridCol w:w="3483"/>
        <w:gridCol w:w="1260"/>
        <w:gridCol w:w="1357"/>
        <w:gridCol w:w="1403"/>
        <w:gridCol w:w="1080"/>
        <w:gridCol w:w="1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5516" w:type="dxa"/>
            <w:gridSpan w:val="9"/>
            <w:tcBorders>
              <w:top w:val="nil"/>
              <w:left w:val="nil"/>
              <w:bottom w:val="nil"/>
              <w:right w:val="nil"/>
              <w:tl2br w:val="nil"/>
              <w:tr2bl w:val="nil"/>
            </w:tcBorders>
            <w:noWrap w:val="0"/>
            <w:vAlign w:val="top"/>
          </w:tcPr>
          <w:p>
            <w:pPr>
              <w:spacing w:beforeLines="0" w:afterLines="0"/>
              <w:jc w:val="center"/>
              <w:rPr>
                <w:rFonts w:hint="eastAsia" w:ascii="黑体" w:hAnsi="黑体" w:eastAsia="黑体"/>
                <w:color w:val="000000"/>
                <w:sz w:val="30"/>
                <w:szCs w:val="24"/>
              </w:rPr>
            </w:pPr>
          </w:p>
          <w:p>
            <w:pPr>
              <w:spacing w:beforeLines="0" w:afterLines="0"/>
              <w:jc w:val="center"/>
              <w:rPr>
                <w:rFonts w:hint="eastAsia" w:ascii="黑体" w:hAnsi="黑体" w:eastAsia="黑体"/>
                <w:color w:val="000000"/>
                <w:sz w:val="30"/>
                <w:szCs w:val="24"/>
              </w:rPr>
            </w:pPr>
          </w:p>
          <w:p>
            <w:pPr>
              <w:spacing w:beforeLines="0" w:afterLines="0"/>
              <w:jc w:val="center"/>
              <w:rPr>
                <w:rFonts w:hint="eastAsia" w:ascii="宋体" w:hAnsi="宋体"/>
                <w:color w:val="000000"/>
                <w:sz w:val="22"/>
                <w:szCs w:val="24"/>
              </w:rPr>
            </w:pPr>
            <w:r>
              <w:rPr>
                <w:rFonts w:hint="eastAsia" w:ascii="黑体" w:hAnsi="黑体" w:eastAsia="黑体"/>
                <w:color w:val="000000"/>
                <w:sz w:val="30"/>
                <w:szCs w:val="24"/>
              </w:rPr>
              <w:t>财政拨款收入支出决算总表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83" w:type="dxa"/>
            <w:tcBorders>
              <w:top w:val="nil"/>
              <w:left w:val="nil"/>
              <w:bottom w:val="nil"/>
              <w:right w:val="nil"/>
              <w:tl2br w:val="nil"/>
              <w:tr2bl w:val="nil"/>
            </w:tcBorders>
            <w:noWrap w:val="0"/>
            <w:vAlign w:val="top"/>
          </w:tcPr>
          <w:p>
            <w:pPr>
              <w:spacing w:beforeLines="0" w:afterLines="0"/>
              <w:jc w:val="right"/>
              <w:rPr>
                <w:rFonts w:hint="eastAsia" w:ascii="宋体" w:hAnsi="宋体"/>
                <w:color w:val="000000"/>
                <w:sz w:val="22"/>
                <w:szCs w:val="24"/>
              </w:rPr>
            </w:pPr>
          </w:p>
        </w:tc>
        <w:tc>
          <w:tcPr>
            <w:tcW w:w="717" w:type="dxa"/>
            <w:tcBorders>
              <w:top w:val="nil"/>
              <w:left w:val="nil"/>
              <w:bottom w:val="nil"/>
              <w:right w:val="nil"/>
              <w:tl2br w:val="nil"/>
              <w:tr2bl w:val="nil"/>
            </w:tcBorders>
            <w:noWrap w:val="0"/>
            <w:vAlign w:val="top"/>
          </w:tcPr>
          <w:p>
            <w:pPr>
              <w:spacing w:beforeLines="0" w:afterLines="0"/>
              <w:jc w:val="right"/>
              <w:rPr>
                <w:rFonts w:hint="eastAsia" w:ascii="宋体" w:hAnsi="宋体"/>
                <w:color w:val="000000"/>
                <w:sz w:val="22"/>
                <w:szCs w:val="24"/>
              </w:rPr>
            </w:pPr>
          </w:p>
        </w:tc>
        <w:tc>
          <w:tcPr>
            <w:tcW w:w="1333" w:type="dxa"/>
            <w:tcBorders>
              <w:top w:val="nil"/>
              <w:left w:val="nil"/>
              <w:bottom w:val="nil"/>
              <w:right w:val="nil"/>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nil"/>
              <w:left w:val="nil"/>
              <w:bottom w:val="nil"/>
              <w:right w:val="nil"/>
              <w:tl2br w:val="nil"/>
              <w:tr2bl w:val="nil"/>
            </w:tcBorders>
            <w:noWrap w:val="0"/>
            <w:vAlign w:val="top"/>
          </w:tcPr>
          <w:p>
            <w:pPr>
              <w:spacing w:beforeLines="0" w:afterLines="0"/>
              <w:jc w:val="right"/>
              <w:rPr>
                <w:rFonts w:hint="eastAsia" w:ascii="宋体" w:hAnsi="宋体"/>
                <w:color w:val="000000"/>
                <w:sz w:val="22"/>
                <w:szCs w:val="24"/>
              </w:rPr>
            </w:pPr>
          </w:p>
        </w:tc>
        <w:tc>
          <w:tcPr>
            <w:tcW w:w="1260" w:type="dxa"/>
            <w:tcBorders>
              <w:top w:val="nil"/>
              <w:left w:val="nil"/>
              <w:bottom w:val="nil"/>
              <w:right w:val="nil"/>
              <w:tl2br w:val="nil"/>
              <w:tr2bl w:val="nil"/>
            </w:tcBorders>
            <w:noWrap w:val="0"/>
            <w:vAlign w:val="top"/>
          </w:tcPr>
          <w:p>
            <w:pPr>
              <w:spacing w:beforeLines="0" w:afterLines="0"/>
              <w:jc w:val="right"/>
              <w:rPr>
                <w:rFonts w:hint="eastAsia" w:ascii="宋体" w:hAnsi="宋体"/>
                <w:color w:val="000000"/>
                <w:sz w:val="22"/>
                <w:szCs w:val="24"/>
              </w:rPr>
            </w:pPr>
          </w:p>
        </w:tc>
        <w:tc>
          <w:tcPr>
            <w:tcW w:w="1357" w:type="dxa"/>
            <w:tcBorders>
              <w:top w:val="nil"/>
              <w:left w:val="nil"/>
              <w:bottom w:val="nil"/>
              <w:right w:val="nil"/>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nil"/>
              <w:left w:val="nil"/>
              <w:bottom w:val="nil"/>
              <w:right w:val="nil"/>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nil"/>
              <w:left w:val="nil"/>
              <w:bottom w:val="nil"/>
              <w:right w:val="nil"/>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nil"/>
              <w:left w:val="nil"/>
              <w:bottom w:val="nil"/>
              <w:right w:val="nil"/>
              <w:tl2br w:val="nil"/>
              <w:tr2bl w:val="nil"/>
            </w:tcBorders>
            <w:noWrap w:val="0"/>
            <w:vAlign w:val="top"/>
          </w:tcPr>
          <w:p>
            <w:pPr>
              <w:spacing w:beforeLines="0" w:afterLines="0"/>
              <w:jc w:val="left"/>
              <w:rPr>
                <w:rFonts w:hint="eastAsia" w:ascii="宋体" w:hAnsi="宋体"/>
                <w:color w:val="000000"/>
                <w:sz w:val="20"/>
                <w:szCs w:val="24"/>
              </w:rPr>
            </w:pPr>
            <w:r>
              <w:rPr>
                <w:rFonts w:hint="eastAsia" w:ascii="宋体" w:hAnsi="宋体"/>
                <w:color w:val="000000"/>
                <w:sz w:val="20"/>
                <w:szCs w:val="24"/>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83" w:type="dxa"/>
            <w:tcBorders>
              <w:top w:val="nil"/>
              <w:left w:val="nil"/>
              <w:bottom w:val="nil"/>
              <w:right w:val="nil"/>
              <w:tl2br w:val="nil"/>
              <w:tr2bl w:val="nil"/>
            </w:tcBorders>
            <w:noWrap w:val="0"/>
            <w:vAlign w:val="top"/>
          </w:tcPr>
          <w:p>
            <w:pPr>
              <w:spacing w:beforeLines="0" w:afterLines="0"/>
              <w:jc w:val="left"/>
              <w:rPr>
                <w:rFonts w:hint="eastAsia" w:ascii="宋体" w:hAnsi="宋体"/>
                <w:color w:val="000000"/>
                <w:sz w:val="20"/>
                <w:szCs w:val="24"/>
              </w:rPr>
            </w:pPr>
            <w:r>
              <w:rPr>
                <w:rFonts w:hint="eastAsia" w:ascii="宋体" w:hAnsi="宋体"/>
                <w:color w:val="000000"/>
                <w:sz w:val="20"/>
                <w:szCs w:val="24"/>
              </w:rPr>
              <w:t>部门：衡阳县劳动人事争议仲裁院</w:t>
            </w:r>
          </w:p>
        </w:tc>
        <w:tc>
          <w:tcPr>
            <w:tcW w:w="717" w:type="dxa"/>
            <w:tcBorders>
              <w:top w:val="nil"/>
              <w:left w:val="nil"/>
              <w:bottom w:val="nil"/>
              <w:right w:val="nil"/>
              <w:tl2br w:val="nil"/>
              <w:tr2bl w:val="nil"/>
            </w:tcBorders>
            <w:noWrap w:val="0"/>
            <w:vAlign w:val="top"/>
          </w:tcPr>
          <w:p>
            <w:pPr>
              <w:spacing w:beforeLines="0" w:afterLines="0"/>
              <w:jc w:val="right"/>
              <w:rPr>
                <w:rFonts w:hint="eastAsia" w:ascii="宋体" w:hAnsi="宋体"/>
                <w:color w:val="000000"/>
                <w:sz w:val="22"/>
                <w:szCs w:val="24"/>
              </w:rPr>
            </w:pPr>
          </w:p>
        </w:tc>
        <w:tc>
          <w:tcPr>
            <w:tcW w:w="1333" w:type="dxa"/>
            <w:tcBorders>
              <w:top w:val="nil"/>
              <w:left w:val="nil"/>
              <w:bottom w:val="nil"/>
              <w:right w:val="nil"/>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nil"/>
              <w:left w:val="nil"/>
              <w:bottom w:val="nil"/>
              <w:right w:val="nil"/>
              <w:tl2br w:val="nil"/>
              <w:tr2bl w:val="nil"/>
            </w:tcBorders>
            <w:noWrap w:val="0"/>
            <w:vAlign w:val="top"/>
          </w:tcPr>
          <w:p>
            <w:pPr>
              <w:spacing w:beforeLines="0" w:afterLines="0"/>
              <w:jc w:val="right"/>
              <w:rPr>
                <w:rFonts w:hint="eastAsia" w:ascii="宋体" w:hAnsi="宋体"/>
                <w:color w:val="000000"/>
                <w:sz w:val="22"/>
                <w:szCs w:val="24"/>
              </w:rPr>
            </w:pPr>
          </w:p>
        </w:tc>
        <w:tc>
          <w:tcPr>
            <w:tcW w:w="1260" w:type="dxa"/>
            <w:tcBorders>
              <w:top w:val="nil"/>
              <w:left w:val="nil"/>
              <w:bottom w:val="nil"/>
              <w:right w:val="nil"/>
              <w:tl2br w:val="nil"/>
              <w:tr2bl w:val="nil"/>
            </w:tcBorders>
            <w:noWrap w:val="0"/>
            <w:vAlign w:val="top"/>
          </w:tcPr>
          <w:p>
            <w:pPr>
              <w:spacing w:beforeLines="0" w:afterLines="0"/>
              <w:jc w:val="right"/>
              <w:rPr>
                <w:rFonts w:hint="eastAsia" w:ascii="宋体" w:hAnsi="宋体"/>
                <w:color w:val="000000"/>
                <w:sz w:val="22"/>
                <w:szCs w:val="24"/>
              </w:rPr>
            </w:pPr>
          </w:p>
        </w:tc>
        <w:tc>
          <w:tcPr>
            <w:tcW w:w="1357" w:type="dxa"/>
            <w:tcBorders>
              <w:top w:val="nil"/>
              <w:left w:val="nil"/>
              <w:bottom w:val="nil"/>
              <w:right w:val="nil"/>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nil"/>
              <w:left w:val="nil"/>
              <w:bottom w:val="nil"/>
              <w:right w:val="nil"/>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nil"/>
              <w:left w:val="nil"/>
              <w:bottom w:val="nil"/>
              <w:right w:val="nil"/>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nil"/>
              <w:left w:val="nil"/>
              <w:bottom w:val="nil"/>
              <w:right w:val="nil"/>
              <w:tl2br w:val="nil"/>
              <w:tr2bl w:val="nil"/>
            </w:tcBorders>
            <w:noWrap w:val="0"/>
            <w:vAlign w:val="top"/>
          </w:tcPr>
          <w:p>
            <w:pPr>
              <w:spacing w:beforeLines="0" w:afterLines="0"/>
              <w:jc w:val="left"/>
              <w:rPr>
                <w:rFonts w:hint="eastAsia" w:ascii="宋体" w:hAnsi="宋体"/>
                <w:color w:val="000000"/>
                <w:sz w:val="20"/>
                <w:szCs w:val="24"/>
              </w:rPr>
            </w:pPr>
            <w:r>
              <w:rPr>
                <w:rFonts w:hint="eastAsia" w:ascii="宋体" w:hAnsi="宋体"/>
                <w:color w:val="000000"/>
                <w:sz w:val="20"/>
                <w:szCs w:val="24"/>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收     入</w:t>
            </w: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支     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项目</w:t>
            </w: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行次</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金额</w:t>
            </w: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项目</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行次</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合计</w:t>
            </w: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一般公共预算财政拨款</w:t>
            </w: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政府性基金预算财政拨款</w:t>
            </w: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小计</w:t>
            </w: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一般公共预算财政拨款</w:t>
            </w: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政府性基金预算财政拨款</w:t>
            </w: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栏次</w:t>
            </w: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1</w:t>
            </w: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栏次</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2</w:t>
            </w: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3</w:t>
            </w: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4</w:t>
            </w: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一、一般公共预算财政拨款</w:t>
            </w: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1</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87.87</w:t>
            </w: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一、一般公共服务支出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33</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二、政府性基金预算财政拨款</w:t>
            </w: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2</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二、外交支出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34</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三、国有资本经营预算财政拨款</w:t>
            </w: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3</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三、国防支出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35</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4</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四、公共安全支出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36</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5</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五、教育支出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37</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6</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六、科学技术支出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38</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9.44</w:t>
            </w: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9.44</w:t>
            </w: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7</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七、文化旅游体育与传媒支出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39</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8</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八、社会保障和就业支出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40</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68.49</w:t>
            </w: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68.49</w:t>
            </w: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9</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九、卫生健康支出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41</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4.47</w:t>
            </w: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4.47</w:t>
            </w: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10</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十、节能环保支出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42</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11</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十一、城乡社区支出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43</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12</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十二、农林水支出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44</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13</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十三、交通运输支出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45</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14</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十四、资源勘探工业信息等支出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46</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15</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十五、商业服务业等支出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47</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16</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十六、金融支出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48</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17</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十七、援助其他地区支出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49</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18</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十八、自然资源海洋气象等支出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50</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19</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十九、住房保障支出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51</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5.46</w:t>
            </w: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5.46</w:t>
            </w: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20</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二十、粮油物资储备支出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52</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21</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二十一、国有资本经营预算支出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53</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22</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二十二、灾害防治及应急管理支出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54</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23</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二十三、其他支出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55</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b/>
                <w:color w:val="000000"/>
                <w:sz w:val="20"/>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24</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二十四、债务还本支出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56</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0"/>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25</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二十五、债务付息支出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57</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0"/>
                <w:szCs w:val="24"/>
              </w:rPr>
            </w:pP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26</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二十六、抗疫特别国债安排的支出</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58</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b/>
                <w:color w:val="000000"/>
                <w:sz w:val="22"/>
                <w:szCs w:val="24"/>
              </w:rPr>
            </w:pPr>
            <w:r>
              <w:rPr>
                <w:rFonts w:hint="eastAsia" w:ascii="宋体" w:hAnsi="宋体"/>
                <w:b/>
                <w:color w:val="000000"/>
                <w:sz w:val="22"/>
                <w:szCs w:val="24"/>
              </w:rPr>
              <w:t>本年收入合计</w:t>
            </w: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27</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87.87</w:t>
            </w: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b/>
                <w:color w:val="000000"/>
                <w:sz w:val="22"/>
                <w:szCs w:val="24"/>
              </w:rPr>
            </w:pPr>
            <w:r>
              <w:rPr>
                <w:rFonts w:hint="eastAsia" w:ascii="宋体" w:hAnsi="宋体"/>
                <w:b/>
                <w:color w:val="000000"/>
                <w:sz w:val="22"/>
                <w:szCs w:val="24"/>
              </w:rPr>
              <w:t>本年支出合计</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59</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87.87</w:t>
            </w: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87.87</w:t>
            </w: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年初财政拨款结转和结余</w:t>
            </w: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28</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年末财政拨款结转和结余</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60</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 xml:space="preserve">  一般公共预算财政拨款</w:t>
            </w: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29</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61</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 xml:space="preserve">  政府性基金预算财政拨款</w:t>
            </w: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30</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62</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 xml:space="preserve">  国有资本经营预算财政拨款</w:t>
            </w: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31</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left"/>
              <w:rPr>
                <w:rFonts w:hint="eastAsia" w:ascii="宋体" w:hAnsi="宋体"/>
                <w:color w:val="000000"/>
                <w:sz w:val="22"/>
                <w:szCs w:val="24"/>
              </w:rPr>
            </w:pP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63</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b/>
                <w:color w:val="000000"/>
                <w:sz w:val="22"/>
                <w:szCs w:val="24"/>
              </w:rPr>
            </w:pPr>
            <w:r>
              <w:rPr>
                <w:rFonts w:hint="eastAsia" w:ascii="宋体" w:hAnsi="宋体"/>
                <w:b/>
                <w:color w:val="000000"/>
                <w:sz w:val="22"/>
                <w:szCs w:val="24"/>
              </w:rPr>
              <w:t>总计</w:t>
            </w:r>
          </w:p>
        </w:tc>
        <w:tc>
          <w:tcPr>
            <w:tcW w:w="71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32</w:t>
            </w:r>
          </w:p>
        </w:tc>
        <w:tc>
          <w:tcPr>
            <w:tcW w:w="133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87.87</w:t>
            </w:r>
          </w:p>
        </w:tc>
        <w:tc>
          <w:tcPr>
            <w:tcW w:w="348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b/>
                <w:color w:val="000000"/>
                <w:sz w:val="22"/>
                <w:szCs w:val="24"/>
              </w:rPr>
            </w:pPr>
            <w:r>
              <w:rPr>
                <w:rFonts w:hint="eastAsia" w:ascii="宋体" w:hAnsi="宋体"/>
                <w:b/>
                <w:color w:val="000000"/>
                <w:sz w:val="22"/>
                <w:szCs w:val="24"/>
              </w:rPr>
              <w:t>总计</w:t>
            </w:r>
          </w:p>
        </w:tc>
        <w:tc>
          <w:tcPr>
            <w:tcW w:w="126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64</w:t>
            </w:r>
          </w:p>
        </w:tc>
        <w:tc>
          <w:tcPr>
            <w:tcW w:w="1357"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87.87</w:t>
            </w:r>
          </w:p>
        </w:tc>
        <w:tc>
          <w:tcPr>
            <w:tcW w:w="1403"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87.87</w:t>
            </w:r>
          </w:p>
        </w:tc>
        <w:tc>
          <w:tcPr>
            <w:tcW w:w="108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c>
          <w:tcPr>
            <w:tcW w:w="1500" w:type="dxa"/>
            <w:tcBorders>
              <w:top w:val="single" w:color="C0C0C0" w:sz="6" w:space="0"/>
              <w:left w:val="single" w:color="C0C0C0" w:sz="6" w:space="0"/>
              <w:bottom w:val="single" w:color="C0C0C0" w:sz="6" w:space="0"/>
              <w:right w:val="single" w:color="C0C0C0" w:sz="6" w:space="0"/>
              <w:tl2br w:val="nil"/>
              <w:tr2bl w:val="nil"/>
            </w:tcBorders>
            <w:noWrap w:val="0"/>
            <w:vAlign w:val="top"/>
          </w:tcPr>
          <w:p>
            <w:pPr>
              <w:spacing w:beforeLines="0" w:afterLines="0"/>
              <w:jc w:val="right"/>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5516" w:type="dxa"/>
            <w:gridSpan w:val="9"/>
            <w:tcBorders>
              <w:top w:val="single" w:color="C0C0C0" w:sz="6" w:space="0"/>
              <w:left w:val="nil"/>
              <w:bottom w:val="nil"/>
              <w:right w:val="nil"/>
              <w:tl2br w:val="nil"/>
              <w:tr2bl w:val="nil"/>
            </w:tcBorders>
            <w:noWrap w:val="0"/>
            <w:vAlign w:val="top"/>
          </w:tcPr>
          <w:p>
            <w:pPr>
              <w:spacing w:beforeLines="0" w:afterLines="0"/>
              <w:jc w:val="left"/>
              <w:rPr>
                <w:rFonts w:hint="eastAsia" w:ascii="宋体" w:hAnsi="宋体"/>
                <w:color w:val="000000"/>
                <w:sz w:val="20"/>
                <w:szCs w:val="24"/>
              </w:rPr>
            </w:pPr>
            <w:r>
              <w:rPr>
                <w:rFonts w:hint="eastAsia" w:ascii="宋体" w:hAnsi="宋体"/>
                <w:color w:val="000000"/>
                <w:sz w:val="22"/>
                <w:szCs w:val="24"/>
              </w:rPr>
              <w:t>注：</w:t>
            </w:r>
            <w:r>
              <w:rPr>
                <w:rFonts w:hint="eastAsia" w:ascii="宋体" w:hAnsi="宋体"/>
                <w:color w:val="000000"/>
                <w:sz w:val="22"/>
                <w:szCs w:val="24"/>
                <w:lang w:val="en-US" w:eastAsia="zh-CN"/>
              </w:rPr>
              <w:t>1.</w:t>
            </w:r>
            <w:r>
              <w:rPr>
                <w:rFonts w:hint="eastAsia" w:ascii="宋体" w:hAnsi="宋体"/>
                <w:color w:val="000000"/>
                <w:sz w:val="22"/>
                <w:szCs w:val="24"/>
              </w:rPr>
              <w:t>本表反映部门本年度一般公共预算财政拨款、政府性基金预算财政拨款和国有资本经营预算财政拨款的总收支和年末结转结余情况。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516" w:type="dxa"/>
            <w:gridSpan w:val="9"/>
            <w:tcBorders>
              <w:top w:val="nil"/>
              <w:left w:val="nil"/>
              <w:bottom w:val="nil"/>
              <w:right w:val="nil"/>
              <w:tl2br w:val="nil"/>
              <w:tr2bl w:val="nil"/>
            </w:tcBorders>
            <w:noWrap w:val="0"/>
            <w:vAlign w:val="top"/>
          </w:tcPr>
          <w:p>
            <w:pPr>
              <w:spacing w:beforeLines="0" w:afterLines="0"/>
              <w:ind w:firstLine="440" w:firstLineChars="200"/>
              <w:jc w:val="both"/>
              <w:rPr>
                <w:rFonts w:hint="eastAsia" w:ascii="宋体" w:hAnsi="宋体"/>
                <w:color w:val="000000"/>
                <w:sz w:val="22"/>
                <w:szCs w:val="24"/>
              </w:rPr>
            </w:pPr>
            <w:r>
              <w:rPr>
                <w:rFonts w:hint="eastAsia" w:ascii="宋体" w:hAnsi="宋体"/>
                <w:color w:val="000000"/>
                <w:sz w:val="22"/>
                <w:szCs w:val="24"/>
                <w:lang w:val="en-US" w:eastAsia="zh-CN"/>
              </w:rPr>
              <w:t>2.</w:t>
            </w:r>
            <w:r>
              <w:rPr>
                <w:rFonts w:hint="eastAsia" w:ascii="宋体" w:hAnsi="宋体"/>
                <w:color w:val="000000"/>
                <w:sz w:val="22"/>
                <w:szCs w:val="24"/>
              </w:rPr>
              <w:t>表格中单元格空白表示数据为零。</w:t>
            </w:r>
          </w:p>
        </w:tc>
      </w:tr>
    </w:tbl>
    <w:p>
      <w:pPr>
        <w:pStyle w:val="7"/>
      </w:pPr>
    </w:p>
    <w:p/>
    <w:tbl>
      <w:tblPr>
        <w:tblStyle w:val="10"/>
        <w:tblW w:w="1412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709"/>
        <w:gridCol w:w="256"/>
        <w:gridCol w:w="256"/>
        <w:gridCol w:w="4308"/>
        <w:gridCol w:w="1703"/>
        <w:gridCol w:w="1703"/>
        <w:gridCol w:w="21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4127" w:type="dxa"/>
            <w:gridSpan w:val="7"/>
            <w:tcBorders>
              <w:top w:val="nil"/>
              <w:left w:val="nil"/>
              <w:bottom w:val="nil"/>
              <w:right w:val="nil"/>
            </w:tcBorders>
            <w:shd w:val="clear" w:color="auto" w:fill="auto"/>
            <w:noWrap/>
            <w:vAlign w:val="center"/>
          </w:tcPr>
          <w:p>
            <w:pPr>
              <w:jc w:val="both"/>
              <w:rPr>
                <w:rFonts w:hint="eastAsia" w:ascii="黑体" w:hAnsi="宋体" w:eastAsia="黑体" w:cs="黑体"/>
                <w:i w:val="0"/>
                <w:iCs w:val="0"/>
                <w:color w:val="000000"/>
                <w:kern w:val="0"/>
                <w:sz w:val="30"/>
                <w:szCs w:val="30"/>
                <w:u w:val="none"/>
                <w:lang w:val="en-US" w:eastAsia="zh-CN" w:bidi="ar"/>
              </w:rPr>
            </w:pPr>
          </w:p>
          <w:p>
            <w:pPr>
              <w:jc w:val="center"/>
              <w:rPr>
                <w:rFonts w:hint="eastAsia" w:ascii="黑体" w:hAnsi="宋体" w:eastAsia="黑体" w:cs="黑体"/>
                <w:i w:val="0"/>
                <w:iCs w:val="0"/>
                <w:color w:val="000000"/>
                <w:kern w:val="0"/>
                <w:sz w:val="30"/>
                <w:szCs w:val="30"/>
                <w:u w:val="none"/>
                <w:lang w:val="en-US" w:eastAsia="zh-CN" w:bidi="ar"/>
              </w:rPr>
            </w:pPr>
          </w:p>
          <w:p>
            <w:pPr>
              <w:jc w:val="center"/>
              <w:rPr>
                <w:rFonts w:hint="eastAsia" w:ascii="黑体" w:hAnsi="宋体" w:eastAsia="黑体" w:cs="黑体"/>
                <w:i w:val="0"/>
                <w:iCs w:val="0"/>
                <w:color w:val="000000"/>
                <w:kern w:val="0"/>
                <w:sz w:val="30"/>
                <w:szCs w:val="30"/>
                <w:u w:val="none"/>
                <w:lang w:val="en-US" w:eastAsia="zh-CN" w:bidi="ar"/>
              </w:rPr>
            </w:pPr>
          </w:p>
          <w:p>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709"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5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5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430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703"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703"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19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709"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部门：衡阳县劳动人事争议仲裁院</w:t>
            </w:r>
          </w:p>
        </w:tc>
        <w:tc>
          <w:tcPr>
            <w:tcW w:w="25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5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430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703"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703"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19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529" w:type="dxa"/>
            <w:gridSpan w:val="4"/>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598"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21" w:type="dxa"/>
            <w:gridSpan w:val="3"/>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4308" w:type="dxa"/>
            <w:vMerge w:val="restart"/>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703"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703"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192"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21" w:type="dxa"/>
            <w:gridSpan w:val="3"/>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308" w:type="dxa"/>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03"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03"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92"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21" w:type="dxa"/>
            <w:gridSpan w:val="3"/>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308" w:type="dxa"/>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03"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03"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92"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529" w:type="dxa"/>
            <w:gridSpan w:val="4"/>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19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529" w:type="dxa"/>
            <w:gridSpan w:val="4"/>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87.87</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87.87</w:t>
            </w:r>
          </w:p>
        </w:tc>
        <w:tc>
          <w:tcPr>
            <w:tcW w:w="219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21"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430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9.44</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9.44</w:t>
            </w:r>
          </w:p>
        </w:tc>
        <w:tc>
          <w:tcPr>
            <w:tcW w:w="219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21"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w:t>
            </w:r>
          </w:p>
        </w:tc>
        <w:tc>
          <w:tcPr>
            <w:tcW w:w="430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科学技术管理事务</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9.44</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9.44</w:t>
            </w:r>
          </w:p>
        </w:tc>
        <w:tc>
          <w:tcPr>
            <w:tcW w:w="219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21"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2060199</w:t>
            </w:r>
          </w:p>
        </w:tc>
        <w:tc>
          <w:tcPr>
            <w:tcW w:w="430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其他科学技术管理事务支出</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9.44</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9.44</w:t>
            </w:r>
          </w:p>
        </w:tc>
        <w:tc>
          <w:tcPr>
            <w:tcW w:w="219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21"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30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68.49</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68.49</w:t>
            </w:r>
          </w:p>
        </w:tc>
        <w:tc>
          <w:tcPr>
            <w:tcW w:w="219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21"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430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60.60</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60.60</w:t>
            </w:r>
          </w:p>
        </w:tc>
        <w:tc>
          <w:tcPr>
            <w:tcW w:w="219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21"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2080112</w:t>
            </w:r>
          </w:p>
        </w:tc>
        <w:tc>
          <w:tcPr>
            <w:tcW w:w="430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劳动人事争议调解仲裁</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60.60</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60.60</w:t>
            </w:r>
          </w:p>
        </w:tc>
        <w:tc>
          <w:tcPr>
            <w:tcW w:w="219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21"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430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7.89</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7.89</w:t>
            </w:r>
          </w:p>
        </w:tc>
        <w:tc>
          <w:tcPr>
            <w:tcW w:w="219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21"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430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7.89</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7.89</w:t>
            </w:r>
          </w:p>
        </w:tc>
        <w:tc>
          <w:tcPr>
            <w:tcW w:w="219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21"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30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4.47</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4.47</w:t>
            </w:r>
          </w:p>
        </w:tc>
        <w:tc>
          <w:tcPr>
            <w:tcW w:w="219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21"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430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4.47</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4.47</w:t>
            </w:r>
          </w:p>
        </w:tc>
        <w:tc>
          <w:tcPr>
            <w:tcW w:w="219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21"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2101102</w:t>
            </w:r>
          </w:p>
        </w:tc>
        <w:tc>
          <w:tcPr>
            <w:tcW w:w="430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事业单位医疗</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4.01</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4.01</w:t>
            </w:r>
          </w:p>
        </w:tc>
        <w:tc>
          <w:tcPr>
            <w:tcW w:w="219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21"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2101103</w:t>
            </w:r>
          </w:p>
        </w:tc>
        <w:tc>
          <w:tcPr>
            <w:tcW w:w="430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公务员医疗补助</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0.46</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0.46</w:t>
            </w:r>
          </w:p>
        </w:tc>
        <w:tc>
          <w:tcPr>
            <w:tcW w:w="219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21"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430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w:t>
            </w:r>
          </w:p>
        </w:tc>
        <w:tc>
          <w:tcPr>
            <w:tcW w:w="219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221"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430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w:t>
            </w:r>
          </w:p>
        </w:tc>
        <w:tc>
          <w:tcPr>
            <w:tcW w:w="219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21"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430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w:t>
            </w:r>
          </w:p>
        </w:tc>
        <w:tc>
          <w:tcPr>
            <w:tcW w:w="17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w:t>
            </w:r>
          </w:p>
        </w:tc>
        <w:tc>
          <w:tcPr>
            <w:tcW w:w="219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127" w:type="dxa"/>
            <w:gridSpan w:val="7"/>
            <w:tcBorders>
              <w:top w:val="single" w:color="D4D4D4" w:sz="4" w:space="0"/>
              <w:left w:val="nil"/>
              <w:bottom w:val="single" w:color="D4D4D4"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w:t>
            </w:r>
            <w:r>
              <w:rPr>
                <w:rFonts w:hint="eastAsia" w:ascii="宋体" w:hAnsi="宋体" w:cs="宋体"/>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本表反映部门本年度一般公共预算财政拨款支出情况。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27" w:type="dxa"/>
            <w:gridSpan w:val="7"/>
            <w:tcBorders>
              <w:top w:val="single" w:color="D4D4D4" w:sz="4" w:space="0"/>
              <w:left w:val="nil"/>
              <w:bottom w:val="single" w:color="D4D4D4" w:sz="4" w:space="0"/>
              <w:right w:val="nil"/>
            </w:tcBorders>
            <w:shd w:val="clear" w:color="auto" w:fill="auto"/>
            <w:noWrap/>
            <w:vAlign w:val="center"/>
          </w:tcPr>
          <w:p>
            <w:pPr>
              <w:pStyle w:val="7"/>
              <w:ind w:left="0" w:leftChars="0" w:firstLine="420" w:firstLineChars="200"/>
              <w:rPr>
                <w:rFonts w:hint="eastAsia" w:ascii="宋体" w:hAnsi="宋体" w:eastAsia="宋体" w:cs="宋体"/>
                <w:i w:val="0"/>
                <w:iCs w:val="0"/>
                <w:color w:val="000000"/>
                <w:kern w:val="0"/>
                <w:sz w:val="22"/>
                <w:szCs w:val="22"/>
                <w:u w:val="none"/>
                <w:lang w:val="en-US" w:eastAsia="zh-CN" w:bidi="ar"/>
              </w:rPr>
            </w:pPr>
            <w:r>
              <w:rPr>
                <w:rFonts w:hint="eastAsia"/>
                <w:sz w:val="21"/>
                <w:szCs w:val="20"/>
                <w:lang w:val="en-US" w:eastAsia="zh-CN"/>
              </w:rPr>
              <w:t>2.表格中单元格空白表示数据为零。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127" w:type="dxa"/>
            <w:gridSpan w:val="7"/>
            <w:tcBorders>
              <w:top w:val="single" w:color="D4D4D4" w:sz="4" w:space="0"/>
              <w:left w:val="nil"/>
              <w:bottom w:val="nil"/>
              <w:right w:val="nil"/>
            </w:tcBorders>
            <w:shd w:val="clear" w:color="auto" w:fill="auto"/>
            <w:noWrap/>
            <w:vAlign w:val="center"/>
          </w:tcPr>
          <w:p>
            <w:pPr>
              <w:pStyle w:val="7"/>
              <w:ind w:left="0" w:leftChars="0" w:firstLine="480" w:firstLineChars="200"/>
              <w:rPr>
                <w:rFonts w:hint="eastAsia"/>
                <w:lang w:val="en-US" w:eastAsia="zh-CN"/>
              </w:rPr>
            </w:pPr>
          </w:p>
          <w:p>
            <w:pPr>
              <w:rPr>
                <w:rFonts w:hint="eastAsia"/>
                <w:sz w:val="21"/>
                <w:szCs w:val="20"/>
                <w:lang w:val="en-US" w:eastAsia="zh-CN"/>
              </w:rPr>
            </w:pPr>
          </w:p>
          <w:p>
            <w:pPr>
              <w:rPr>
                <w:rFonts w:hint="eastAsia"/>
                <w:sz w:val="21"/>
                <w:szCs w:val="20"/>
                <w:lang w:val="en-US" w:eastAsia="zh-CN"/>
              </w:rPr>
            </w:pPr>
            <w:r>
              <w:rPr>
                <w:rFonts w:hint="eastAsia"/>
                <w:sz w:val="21"/>
                <w:szCs w:val="20"/>
                <w:lang w:val="en-US" w:eastAsia="zh-CN"/>
              </w:rPr>
              <w:object>
                <v:shape id="_x0000_i1033" o:spt="75" type="#_x0000_t75" style="height:417.9pt;width:694.65pt;" o:ole="t" filled="f" o:preferrelative="t" stroked="f" coordsize="21600,21600">
                  <v:path/>
                  <v:fill on="f" focussize="0,0"/>
                  <v:stroke on="f"/>
                  <v:imagedata r:id="rId12" o:title=""/>
                  <o:lock v:ext="edit" aspectratio="f"/>
                  <w10:wrap type="none"/>
                  <w10:anchorlock/>
                </v:shape>
                <o:OLEObject Type="Embed" ProgID="Excel.Sheet.12" ShapeID="_x0000_i1033" DrawAspect="Content" ObjectID="_1468075727" r:id="rId11">
                  <o:LockedField>false</o:LockedField>
                </o:OLEObject>
              </w:object>
            </w:r>
          </w:p>
          <w:p>
            <w:pPr>
              <w:rPr>
                <w:rFonts w:hint="eastAsia"/>
                <w:sz w:val="21"/>
                <w:szCs w:val="20"/>
                <w:lang w:val="en-US" w:eastAsia="zh-CN"/>
              </w:rPr>
            </w:pPr>
          </w:p>
          <w:p>
            <w:pPr>
              <w:rPr>
                <w:rFonts w:hint="eastAsia"/>
                <w:sz w:val="21"/>
                <w:szCs w:val="20"/>
                <w:lang w:val="en-US" w:eastAsia="zh-CN"/>
              </w:rPr>
            </w:pPr>
          </w:p>
          <w:p>
            <w:pPr>
              <w:rPr>
                <w:rFonts w:hint="eastAsia"/>
                <w:sz w:val="21"/>
                <w:szCs w:val="20"/>
                <w:lang w:val="en-US" w:eastAsia="zh-CN"/>
              </w:rPr>
            </w:pPr>
          </w:p>
          <w:p>
            <w:pPr>
              <w:rPr>
                <w:rFonts w:hint="eastAsia"/>
                <w:sz w:val="21"/>
                <w:szCs w:val="20"/>
                <w:lang w:val="en-US" w:eastAsia="zh-CN"/>
              </w:rPr>
            </w:pPr>
          </w:p>
        </w:tc>
      </w:tr>
    </w:tbl>
    <w:p>
      <w:pPr>
        <w:rPr>
          <w:rFonts w:ascii="Times New Roman" w:hAnsi="Times New Roman" w:eastAsia="华文中宋" w:cs="Times New Roman"/>
          <w:color w:val="000000"/>
          <w:sz w:val="32"/>
          <w:szCs w:val="32"/>
        </w:rPr>
      </w:pPr>
    </w:p>
    <w:p>
      <w:pPr>
        <w:pStyle w:val="6"/>
      </w:pPr>
      <w:r>
        <w:object>
          <v:shape id="_x0000_i1029" o:spt="75" type="#_x0000_t75" style="height:156.6pt;width:699.7pt;" o:ole="t" filled="f" o:preferrelative="t" stroked="f" coordsize="21600,21600">
            <v:path/>
            <v:fill on="f" focussize="0,0"/>
            <v:stroke on="f"/>
            <v:imagedata r:id="rId14" o:title=""/>
            <o:lock v:ext="edit" aspectratio="f"/>
            <w10:wrap type="none"/>
            <w10:anchorlock/>
          </v:shape>
          <o:OLEObject Type="Embed" ProgID="Excel.Sheet.12" ShapeID="_x0000_i1029" DrawAspect="Content" ObjectID="_1468075728" r:id="rId13">
            <o:LockedField>false</o:LockedField>
          </o:OLEObject>
        </w:object>
      </w:r>
    </w:p>
    <w:p>
      <w:pPr>
        <w:widowControl/>
        <w:spacing w:afterLines="50"/>
        <w:jc w:val="center"/>
        <w:textAlignment w:val="center"/>
        <w:rPr>
          <w:rFonts w:ascii="Times New Roman" w:hAnsi="Times New Roman" w:eastAsia="黑体" w:cs="Times New Roman"/>
          <w:color w:val="000000"/>
          <w:kern w:val="0"/>
          <w:sz w:val="36"/>
          <w:szCs w:val="36"/>
        </w:rPr>
      </w:pPr>
    </w:p>
    <w:p>
      <w:pPr>
        <w:widowControl/>
        <w:spacing w:afterLines="50"/>
        <w:jc w:val="center"/>
        <w:textAlignment w:val="center"/>
        <w:rPr>
          <w:rFonts w:ascii="Times New Roman" w:hAnsi="Times New Roman" w:eastAsia="黑体" w:cs="Times New Roman"/>
          <w:color w:val="000000"/>
          <w:kern w:val="0"/>
          <w:sz w:val="36"/>
          <w:szCs w:val="36"/>
        </w:rPr>
      </w:pPr>
    </w:p>
    <w:p>
      <w:pPr>
        <w:widowControl/>
        <w:spacing w:afterLines="50"/>
        <w:jc w:val="center"/>
        <w:textAlignment w:val="center"/>
        <w:rPr>
          <w:rFonts w:ascii="Times New Roman" w:hAnsi="Times New Roman" w:eastAsia="黑体" w:cs="Times New Roman"/>
          <w:color w:val="000000"/>
          <w:kern w:val="0"/>
          <w:sz w:val="36"/>
          <w:szCs w:val="36"/>
        </w:rPr>
      </w:pPr>
    </w:p>
    <w:p>
      <w:pPr>
        <w:widowControl/>
        <w:spacing w:afterLines="50"/>
        <w:jc w:val="center"/>
        <w:textAlignment w:val="center"/>
        <w:rPr>
          <w:rFonts w:ascii="Times New Roman" w:hAnsi="Times New Roman" w:eastAsia="黑体" w:cs="Times New Roman"/>
          <w:color w:val="000000"/>
          <w:kern w:val="0"/>
          <w:sz w:val="36"/>
          <w:szCs w:val="36"/>
        </w:rPr>
      </w:pPr>
    </w:p>
    <w:p>
      <w:pPr>
        <w:widowControl/>
        <w:spacing w:afterLines="50"/>
        <w:jc w:val="center"/>
        <w:textAlignment w:val="center"/>
        <w:rPr>
          <w:rFonts w:ascii="Times New Roman" w:hAnsi="Times New Roman" w:eastAsia="黑体" w:cs="Times New Roman"/>
          <w:color w:val="000000"/>
          <w:kern w:val="0"/>
          <w:sz w:val="36"/>
          <w:szCs w:val="36"/>
        </w:rPr>
      </w:pPr>
    </w:p>
    <w:p>
      <w:pPr>
        <w:widowControl/>
        <w:spacing w:afterLines="50"/>
        <w:jc w:val="center"/>
        <w:textAlignment w:val="center"/>
        <w:rPr>
          <w:rFonts w:ascii="Times New Roman" w:hAnsi="Times New Roman" w:eastAsia="黑体" w:cs="Times New Roman"/>
          <w:color w:val="000000"/>
          <w:kern w:val="0"/>
          <w:sz w:val="36"/>
          <w:szCs w:val="36"/>
        </w:rPr>
      </w:pPr>
    </w:p>
    <w:p>
      <w:pPr>
        <w:widowControl/>
        <w:spacing w:afterLines="50"/>
        <w:jc w:val="center"/>
        <w:textAlignment w:val="center"/>
        <w:rPr>
          <w:rFonts w:ascii="Times New Roman" w:hAnsi="Times New Roman" w:eastAsia="黑体" w:cs="Times New Roman"/>
          <w:color w:val="000000"/>
          <w:kern w:val="0"/>
          <w:sz w:val="36"/>
          <w:szCs w:val="36"/>
        </w:rPr>
      </w:pPr>
    </w:p>
    <w:p>
      <w:pPr>
        <w:widowControl/>
        <w:spacing w:afterLines="50"/>
        <w:jc w:val="center"/>
        <w:textAlignment w:val="center"/>
        <w:rPr>
          <w:rFonts w:ascii="Times New Roman" w:hAnsi="Times New Roman" w:eastAsia="黑体" w:cs="Times New Roman"/>
          <w:color w:val="000000"/>
          <w:kern w:val="0"/>
          <w:sz w:val="36"/>
          <w:szCs w:val="36"/>
        </w:rPr>
      </w:pPr>
    </w:p>
    <w:p>
      <w:pPr>
        <w:widowControl/>
        <w:spacing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object>
          <v:shape id="_x0000_i1034" o:spt="75" type="#_x0000_t75" style="height:168pt;width:662.8pt;" o:ole="t" filled="f" o:preferrelative="t" stroked="f" coordsize="21600,21600">
            <v:path/>
            <v:fill on="f" focussize="0,0"/>
            <v:stroke on="f"/>
            <v:imagedata r:id="rId16" o:title=""/>
            <o:lock v:ext="edit" aspectratio="f"/>
            <w10:wrap type="none"/>
            <w10:anchorlock/>
          </v:shape>
          <o:OLEObject Type="Embed" ProgID="Excel.Sheet.12" ShapeID="_x0000_i1034" DrawAspect="Content" ObjectID="_1468075729" r:id="rId15">
            <o:LockedField>false</o:LockedField>
          </o:OLEObject>
        </w:object>
      </w:r>
    </w:p>
    <w:p>
      <w:pPr>
        <w:widowControl/>
        <w:spacing w:afterLines="50"/>
        <w:jc w:val="center"/>
        <w:textAlignment w:val="center"/>
        <w:rPr>
          <w:rFonts w:ascii="Times New Roman" w:hAnsi="Times New Roman" w:eastAsia="黑体" w:cs="Times New Roman"/>
          <w:color w:val="000000"/>
          <w:kern w:val="0"/>
          <w:sz w:val="36"/>
          <w:szCs w:val="36"/>
        </w:rPr>
      </w:pPr>
    </w:p>
    <w:p>
      <w:pPr>
        <w:widowControl/>
        <w:spacing w:afterLines="50"/>
        <w:jc w:val="center"/>
        <w:textAlignment w:val="center"/>
        <w:rPr>
          <w:rFonts w:ascii="Times New Roman" w:hAnsi="Times New Roman" w:eastAsia="黑体" w:cs="Times New Roman"/>
          <w:color w:val="000000"/>
          <w:kern w:val="0"/>
          <w:sz w:val="36"/>
          <w:szCs w:val="36"/>
        </w:rPr>
      </w:pPr>
      <w:bookmarkStart w:id="2" w:name="_GoBack"/>
      <w:bookmarkEnd w:id="2"/>
    </w:p>
    <w:p>
      <w:pPr>
        <w:widowControl/>
        <w:spacing w:afterLines="50"/>
        <w:jc w:val="center"/>
        <w:textAlignment w:val="center"/>
        <w:rPr>
          <w:rFonts w:ascii="Times New Roman" w:hAnsi="Times New Roman" w:eastAsia="黑体" w:cs="Times New Roman"/>
          <w:color w:val="000000"/>
          <w:kern w:val="0"/>
          <w:sz w:val="36"/>
          <w:szCs w:val="36"/>
        </w:rPr>
      </w:pPr>
    </w:p>
    <w:p>
      <w:pPr>
        <w:widowControl/>
        <w:spacing w:afterLines="50"/>
        <w:jc w:val="center"/>
        <w:textAlignment w:val="center"/>
        <w:rPr>
          <w:rFonts w:ascii="Times New Roman" w:hAnsi="Times New Roman" w:eastAsia="黑体" w:cs="Times New Roman"/>
          <w:color w:val="000000"/>
          <w:kern w:val="0"/>
          <w:sz w:val="36"/>
          <w:szCs w:val="36"/>
        </w:rPr>
      </w:pPr>
    </w:p>
    <w:p>
      <w:pPr>
        <w:widowControl/>
        <w:spacing w:afterLines="50"/>
        <w:jc w:val="center"/>
        <w:textAlignment w:val="center"/>
        <w:rPr>
          <w:rFonts w:ascii="Times New Roman" w:hAnsi="Times New Roman" w:eastAsia="黑体" w:cs="Times New Roman"/>
          <w:color w:val="000000"/>
          <w:kern w:val="0"/>
          <w:sz w:val="36"/>
          <w:szCs w:val="36"/>
        </w:rPr>
      </w:pPr>
    </w:p>
    <w:p>
      <w:pPr>
        <w:widowControl/>
        <w:spacing w:afterLines="50"/>
        <w:jc w:val="center"/>
        <w:textAlignment w:val="center"/>
        <w:rPr>
          <w:rFonts w:ascii="Times New Roman" w:hAnsi="Times New Roman" w:eastAsia="黑体" w:cs="Times New Roman"/>
          <w:color w:val="000000"/>
          <w:kern w:val="0"/>
          <w:sz w:val="36"/>
          <w:szCs w:val="36"/>
        </w:rPr>
      </w:pPr>
    </w:p>
    <w:p>
      <w:pPr>
        <w:widowControl/>
        <w:spacing w:afterLines="50"/>
        <w:jc w:val="center"/>
        <w:textAlignment w:val="center"/>
        <w:rPr>
          <w:rFonts w:ascii="Times New Roman" w:hAnsi="Times New Roman" w:eastAsia="黑体" w:cs="Times New Roman"/>
          <w:color w:val="000000"/>
          <w:kern w:val="0"/>
          <w:sz w:val="36"/>
          <w:szCs w:val="36"/>
        </w:rPr>
      </w:pPr>
    </w:p>
    <w:p>
      <w:pPr>
        <w:widowControl/>
        <w:spacing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object>
          <v:shape id="_x0000_i1031" o:spt="75" type="#_x0000_t75" style="height:144.35pt;width:699.4pt;" o:ole="t" filled="f" o:preferrelative="t" stroked="f" coordsize="21600,21600">
            <v:path/>
            <v:fill on="f" focussize="0,0"/>
            <v:stroke on="f"/>
            <v:imagedata r:id="rId18" o:title=""/>
            <o:lock v:ext="edit" aspectratio="f"/>
            <w10:wrap type="none"/>
            <w10:anchorlock/>
          </v:shape>
          <o:OLEObject Type="Embed" ProgID="Excel.Sheet.12" ShapeID="_x0000_i1031" DrawAspect="Content" ObjectID="_1468075730" r:id="rId17">
            <o:LockedField>false</o:LockedField>
          </o:OLEObject>
        </w:object>
      </w:r>
    </w:p>
    <w:p>
      <w:pPr>
        <w:widowControl/>
        <w:spacing w:afterLines="50"/>
        <w:jc w:val="center"/>
        <w:textAlignment w:val="center"/>
        <w:rPr>
          <w:rFonts w:ascii="Times New Roman" w:hAnsi="Times New Roman" w:eastAsia="黑体" w:cs="Times New Roman"/>
          <w:color w:val="000000"/>
          <w:kern w:val="0"/>
          <w:sz w:val="36"/>
          <w:szCs w:val="36"/>
        </w:rPr>
      </w:pPr>
    </w:p>
    <w:p>
      <w:pPr>
        <w:widowControl/>
        <w:jc w:val="left"/>
        <w:rPr>
          <w:rFonts w:ascii="Times New Roman" w:hAnsi="Times New Roman" w:eastAsia="宋体" w:cs="Times New Roman"/>
          <w:kern w:val="0"/>
          <w:sz w:val="24"/>
          <w:szCs w:val="24"/>
        </w:rPr>
      </w:pPr>
    </w:p>
    <w:p>
      <w:pPr>
        <w:autoSpaceDE w:val="0"/>
        <w:autoSpaceDN w:val="0"/>
        <w:adjustRightInd w:val="0"/>
        <w:ind w:left="315" w:leftChars="150"/>
        <w:jc w:val="left"/>
        <w:rPr>
          <w:rFonts w:ascii="Times New Roman" w:hAnsi="Times New Roman" w:eastAsia="宋体" w:cs="Times New Roman"/>
          <w:kern w:val="0"/>
          <w:sz w:val="24"/>
          <w:szCs w:val="24"/>
        </w:rPr>
      </w:pPr>
    </w:p>
    <w:p>
      <w:pPr>
        <w:widowControl/>
        <w:sectPr>
          <w:pgSz w:w="16838" w:h="11906" w:orient="landscape"/>
          <w:pgMar w:top="1134" w:right="1417" w:bottom="1134" w:left="1417" w:header="851" w:footer="992" w:gutter="0"/>
          <w:cols w:space="720" w:num="1"/>
          <w:docGrid w:type="lines" w:linePitch="312" w:charSpace="0"/>
        </w:sectPr>
      </w:pPr>
    </w:p>
    <w:p>
      <w:pPr>
        <w:pStyle w:val="15"/>
        <w:rPr>
          <w:rFonts w:ascii="Times New Roman" w:hAnsi="Times New Roman" w:cs="Times New Roman"/>
          <w:sz w:val="72"/>
          <w:szCs w:val="72"/>
        </w:rPr>
      </w:pPr>
    </w:p>
    <w:p>
      <w:pPr>
        <w:pStyle w:val="15"/>
        <w:rPr>
          <w:rFonts w:ascii="Times New Roman" w:hAnsi="Times New Roman" w:cs="Times New Roman"/>
          <w:sz w:val="72"/>
          <w:szCs w:val="72"/>
        </w:rPr>
      </w:pPr>
    </w:p>
    <w:p>
      <w:pPr>
        <w:pStyle w:val="15"/>
        <w:rPr>
          <w:rFonts w:ascii="Times New Roman" w:hAnsi="Times New Roman" w:cs="Times New Roman"/>
          <w:sz w:val="72"/>
          <w:szCs w:val="72"/>
        </w:rPr>
      </w:pPr>
    </w:p>
    <w:p>
      <w:pPr>
        <w:pStyle w:val="15"/>
        <w:jc w:val="center"/>
        <w:rPr>
          <w:rFonts w:ascii="Times New Roman" w:hAnsi="Times New Roman" w:cs="Times New Roman"/>
          <w:sz w:val="72"/>
          <w:szCs w:val="72"/>
        </w:rPr>
      </w:pPr>
    </w:p>
    <w:p>
      <w:pPr>
        <w:pStyle w:val="15"/>
        <w:jc w:val="center"/>
        <w:rPr>
          <w:rFonts w:ascii="Times New Roman" w:hAnsi="Times New Roman" w:eastAsia="方正小标宋_GBK" w:cs="Times New Roman"/>
          <w:sz w:val="72"/>
          <w:szCs w:val="72"/>
        </w:rPr>
      </w:pPr>
    </w:p>
    <w:p>
      <w:pPr>
        <w:pStyle w:val="15"/>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第三部分</w:t>
      </w:r>
    </w:p>
    <w:p>
      <w:pPr>
        <w:pStyle w:val="15"/>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2024年度部门决算情况说明</w:t>
      </w:r>
    </w:p>
    <w:p>
      <w:pPr>
        <w:widowControl/>
        <w:jc w:val="left"/>
        <w:rPr>
          <w:rFonts w:ascii="Times New Roman" w:hAnsi="Times New Roman" w:cs="Times New Roman"/>
          <w:sz w:val="32"/>
          <w:szCs w:val="32"/>
        </w:rPr>
      </w:pPr>
      <w:r>
        <w:rPr>
          <w:rFonts w:ascii="Times New Roman" w:hAnsi="Times New Roman" w:eastAsia="方正小标宋_GBK" w:cs="Times New Roman"/>
          <w:sz w:val="70"/>
          <w:szCs w:val="70"/>
        </w:rPr>
        <w:br w:type="page"/>
      </w:r>
    </w:p>
    <w:p>
      <w:pPr>
        <w:pStyle w:val="15"/>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一、收入支出决算总体情况说明</w:t>
      </w:r>
    </w:p>
    <w:p>
      <w:pPr>
        <w:pStyle w:val="15"/>
        <w:overflowPunct w:val="0"/>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2024年度收、支总计</w:t>
      </w:r>
      <w:r>
        <w:rPr>
          <w:rFonts w:hint="eastAsia" w:ascii="Times New Roman" w:hAnsi="Times New Roman" w:eastAsia="仿宋_GB2312" w:cs="Times New Roman"/>
          <w:sz w:val="32"/>
          <w:szCs w:val="32"/>
          <w:lang w:val="en-US" w:eastAsia="zh-CN"/>
        </w:rPr>
        <w:t>92.87</w:t>
      </w:r>
      <w:r>
        <w:rPr>
          <w:rFonts w:ascii="Times New Roman" w:hAnsi="Times New Roman" w:eastAsia="仿宋_GB2312" w:cs="Times New Roman"/>
          <w:sz w:val="32"/>
          <w:szCs w:val="32"/>
        </w:rPr>
        <w:t>万元。与上年相比，增加</w:t>
      </w:r>
      <w:r>
        <w:rPr>
          <w:rFonts w:hint="eastAsia" w:ascii="Times New Roman" w:hAnsi="Times New Roman" w:eastAsia="仿宋_GB2312" w:cs="Times New Roman"/>
          <w:sz w:val="32"/>
          <w:szCs w:val="32"/>
          <w:lang w:val="en-US" w:eastAsia="zh-CN"/>
        </w:rPr>
        <w:t>7.29</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9.7</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lang w:eastAsia="zh-CN"/>
        </w:rPr>
        <w:t>人社局机关对我单位本年度工作经费拨款有所增加，上年度其他资金有结转所致。</w:t>
      </w:r>
    </w:p>
    <w:p>
      <w:pPr>
        <w:pStyle w:val="15"/>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二、收入决算情况说明</w:t>
      </w:r>
    </w:p>
    <w:p>
      <w:pPr>
        <w:pStyle w:val="15"/>
        <w:overflowPunct w:val="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2024年度收入合计</w:t>
      </w:r>
      <w:r>
        <w:rPr>
          <w:rFonts w:hint="eastAsia" w:ascii="Times New Roman" w:hAnsi="Times New Roman" w:eastAsia="仿宋_GB2312" w:cs="Times New Roman"/>
          <w:sz w:val="32"/>
          <w:szCs w:val="32"/>
          <w:lang w:val="en-US" w:eastAsia="zh-CN"/>
        </w:rPr>
        <w:t>92.87</w:t>
      </w:r>
      <w:r>
        <w:rPr>
          <w:rFonts w:ascii="Times New Roman" w:hAnsi="Times New Roman" w:eastAsia="仿宋_GB2312" w:cs="Times New Roman"/>
          <w:sz w:val="32"/>
          <w:szCs w:val="32"/>
        </w:rPr>
        <w:t>万元，其中：财政拨款收入</w:t>
      </w:r>
      <w:r>
        <w:rPr>
          <w:rFonts w:hint="eastAsia" w:ascii="Times New Roman" w:hAnsi="Times New Roman" w:eastAsia="仿宋_GB2312" w:cs="Times New Roman"/>
          <w:sz w:val="32"/>
          <w:szCs w:val="32"/>
          <w:lang w:val="en-US" w:eastAsia="zh-CN"/>
        </w:rPr>
        <w:t>87.87</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94.61</w:t>
      </w:r>
      <w:r>
        <w:rPr>
          <w:rFonts w:ascii="Times New Roman" w:hAnsi="Times New Roman" w:eastAsia="仿宋_GB2312" w:cs="Times New Roman"/>
          <w:sz w:val="32"/>
          <w:szCs w:val="32"/>
        </w:rPr>
        <w:t>%；上级补助收入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%；事业收入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%；经营收入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%；附属单位上缴收入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%；其他收入</w:t>
      </w: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5.38</w:t>
      </w:r>
      <w:r>
        <w:rPr>
          <w:rFonts w:ascii="Times New Roman" w:hAnsi="Times New Roman" w:eastAsia="仿宋_GB2312" w:cs="Times New Roman"/>
          <w:sz w:val="32"/>
          <w:szCs w:val="32"/>
        </w:rPr>
        <w:t>%。</w:t>
      </w:r>
    </w:p>
    <w:p>
      <w:pPr>
        <w:pStyle w:val="15"/>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三、支出决算情况说明</w:t>
      </w:r>
    </w:p>
    <w:p>
      <w:pPr>
        <w:pStyle w:val="15"/>
        <w:overflowPunct w:val="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2024年度支出合计</w:t>
      </w:r>
      <w:r>
        <w:rPr>
          <w:rFonts w:hint="eastAsia" w:ascii="Times New Roman" w:hAnsi="Times New Roman" w:eastAsia="仿宋_GB2312" w:cs="Times New Roman"/>
          <w:sz w:val="32"/>
          <w:szCs w:val="32"/>
          <w:lang w:val="en-US" w:eastAsia="zh-CN"/>
        </w:rPr>
        <w:t>92.87</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val="en-US" w:eastAsia="zh-CN"/>
        </w:rPr>
        <w:t>92.87</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%；项目支出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%；上缴上级支出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%；经营支出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%；对附属单位补助支出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p>
    <w:p>
      <w:pPr>
        <w:pStyle w:val="15"/>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四、财政拨款收入支出决算总体情况说明</w:t>
      </w:r>
    </w:p>
    <w:p>
      <w:pPr>
        <w:pStyle w:val="15"/>
        <w:overflowPunct w:val="0"/>
        <w:spacing w:line="600" w:lineRule="exact"/>
        <w:ind w:firstLine="640" w:firstLineChars="200"/>
        <w:jc w:val="both"/>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2024年度财政拨款收、支总计</w:t>
      </w:r>
      <w:r>
        <w:rPr>
          <w:rFonts w:hint="eastAsia" w:ascii="Times New Roman" w:hAnsi="Times New Roman" w:eastAsia="仿宋_GB2312" w:cs="Times New Roman"/>
          <w:sz w:val="32"/>
          <w:szCs w:val="32"/>
          <w:lang w:val="en-US" w:eastAsia="zh-CN"/>
        </w:rPr>
        <w:t>87.87</w:t>
      </w:r>
      <w:r>
        <w:rPr>
          <w:rFonts w:ascii="Times New Roman" w:hAnsi="Times New Roman" w:eastAsia="仿宋_GB2312" w:cs="Times New Roman"/>
          <w:sz w:val="32"/>
          <w:szCs w:val="32"/>
        </w:rPr>
        <w:t>万元，与上年相比，增加</w:t>
      </w:r>
      <w:r>
        <w:rPr>
          <w:rFonts w:hint="eastAsia" w:ascii="Times New Roman" w:hAnsi="Times New Roman" w:eastAsia="仿宋_GB2312" w:cs="Times New Roman"/>
          <w:sz w:val="32"/>
          <w:szCs w:val="32"/>
          <w:lang w:val="en-US" w:eastAsia="zh-CN"/>
        </w:rPr>
        <w:t>8.03</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9.1</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lang w:val="en-US" w:eastAsia="zh-CN"/>
        </w:rPr>
        <w:t>年中预算调整。</w:t>
      </w:r>
    </w:p>
    <w:p>
      <w:pPr>
        <w:pStyle w:val="15"/>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五、一般公共预算财政拨款支出决算情况说明</w:t>
      </w:r>
    </w:p>
    <w:p>
      <w:pPr>
        <w:pStyle w:val="15"/>
        <w:overflowPunct w:val="0"/>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（一）一般公共预算财政拨款支出决算总体情况</w:t>
      </w:r>
    </w:p>
    <w:p>
      <w:pPr>
        <w:pStyle w:val="15"/>
        <w:overflowPunct w:val="0"/>
        <w:spacing w:line="600" w:lineRule="exact"/>
        <w:ind w:firstLine="640" w:firstLineChars="200"/>
        <w:jc w:val="both"/>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lang w:val="en-US" w:eastAsia="zh-CN"/>
        </w:rPr>
        <w:t>87.87</w:t>
      </w:r>
      <w:r>
        <w:rPr>
          <w:rFonts w:ascii="Times New Roman" w:hAnsi="Times New Roman" w:eastAsia="仿宋_GB2312" w:cs="Times New Roman"/>
          <w:sz w:val="32"/>
          <w:szCs w:val="32"/>
        </w:rPr>
        <w:t>万元，占本年支出合计的</w:t>
      </w:r>
      <w:r>
        <w:rPr>
          <w:rFonts w:hint="eastAsia" w:ascii="Times New Roman" w:hAnsi="Times New Roman" w:eastAsia="仿宋_GB2312" w:cs="Times New Roman"/>
          <w:sz w:val="32"/>
          <w:szCs w:val="32"/>
          <w:lang w:val="en-US" w:eastAsia="zh-CN"/>
        </w:rPr>
        <w:t>89.5</w:t>
      </w:r>
      <w:r>
        <w:rPr>
          <w:rFonts w:ascii="Times New Roman" w:hAnsi="Times New Roman" w:eastAsia="仿宋_GB2312" w:cs="Times New Roman"/>
          <w:sz w:val="32"/>
          <w:szCs w:val="32"/>
        </w:rPr>
        <w:t>%，与上年相比，财政拨款支出增加</w:t>
      </w:r>
      <w:r>
        <w:rPr>
          <w:rFonts w:hint="eastAsia" w:ascii="Times New Roman" w:hAnsi="Times New Roman" w:eastAsia="仿宋_GB2312" w:cs="Times New Roman"/>
          <w:sz w:val="32"/>
          <w:szCs w:val="32"/>
          <w:lang w:val="en-US" w:eastAsia="zh-CN"/>
        </w:rPr>
        <w:t>8.03</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9.1</w:t>
      </w:r>
      <w:r>
        <w:rPr>
          <w:rFonts w:ascii="Times New Roman" w:hAnsi="Times New Roman" w:eastAsia="仿宋_GB2312" w:cs="Times New Roman"/>
          <w:sz w:val="32"/>
          <w:szCs w:val="32"/>
        </w:rPr>
        <w:t>%，主要是因</w:t>
      </w:r>
      <w:r>
        <w:rPr>
          <w:rFonts w:hint="eastAsia" w:ascii="Times New Roman" w:hAnsi="Times New Roman" w:eastAsia="仿宋_GB2312" w:cs="Times New Roman"/>
          <w:sz w:val="32"/>
          <w:szCs w:val="32"/>
          <w:lang w:val="en-US" w:eastAsia="zh-CN"/>
        </w:rPr>
        <w:t>为人员增资。</w:t>
      </w:r>
    </w:p>
    <w:p>
      <w:pPr>
        <w:pStyle w:val="15"/>
        <w:overflowPunct w:val="0"/>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（二）一般公共预算财政拨款支出决算结构情况</w:t>
      </w:r>
    </w:p>
    <w:p>
      <w:pPr>
        <w:pStyle w:val="15"/>
        <w:overflowPunct w:val="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lang w:val="en-US" w:eastAsia="zh-CN"/>
        </w:rPr>
        <w:t>87.87</w:t>
      </w:r>
      <w:r>
        <w:rPr>
          <w:rFonts w:ascii="Times New Roman" w:hAnsi="Times New Roman" w:eastAsia="仿宋_GB2312" w:cs="Times New Roman"/>
          <w:sz w:val="32"/>
          <w:szCs w:val="32"/>
        </w:rPr>
        <w:t>万元，主要用于以下方面：</w:t>
      </w:r>
      <w:r>
        <w:rPr>
          <w:rFonts w:hint="eastAsia" w:ascii="Times New Roman" w:hAnsi="Times New Roman" w:eastAsia="仿宋_GB2312" w:cs="Times New Roman"/>
          <w:sz w:val="32"/>
          <w:szCs w:val="32"/>
          <w:lang w:eastAsia="zh-CN"/>
        </w:rPr>
        <w:t>科学技术</w:t>
      </w:r>
      <w:r>
        <w:rPr>
          <w:rFonts w:hint="eastAsia" w:ascii="Times New Roman" w:hAnsi="Times New Roman" w:eastAsia="仿宋_GB2312" w:cs="Times New Roman"/>
          <w:sz w:val="32"/>
          <w:szCs w:val="32"/>
        </w:rPr>
        <w:t>本年支出</w:t>
      </w:r>
      <w:r>
        <w:rPr>
          <w:rFonts w:hint="eastAsia" w:ascii="Times New Roman" w:hAnsi="Times New Roman" w:eastAsia="仿宋_GB2312" w:cs="Times New Roman"/>
          <w:sz w:val="32"/>
          <w:szCs w:val="32"/>
          <w:lang w:val="en-US" w:eastAsia="zh-CN"/>
        </w:rPr>
        <w:t>9.44</w:t>
      </w:r>
      <w:r>
        <w:rPr>
          <w:rFonts w:hint="eastAsia" w:ascii="Times New Roman" w:hAnsi="Times New Roman" w:eastAsia="仿宋_GB2312" w:cs="Times New Roman"/>
          <w:sz w:val="32"/>
          <w:szCs w:val="32"/>
        </w:rPr>
        <w:t xml:space="preserve"> 万元，占</w:t>
      </w:r>
      <w:r>
        <w:rPr>
          <w:rFonts w:hint="eastAsia" w:ascii="Times New Roman" w:hAnsi="Times New Roman" w:eastAsia="仿宋_GB2312" w:cs="Times New Roman"/>
          <w:sz w:val="32"/>
          <w:szCs w:val="32"/>
          <w:lang w:val="en-US" w:eastAsia="zh-CN"/>
        </w:rPr>
        <w:t>10.7</w:t>
      </w:r>
      <w:r>
        <w:rPr>
          <w:rFonts w:hint="eastAsia" w:ascii="Times New Roman" w:hAnsi="Times New Roman" w:eastAsia="仿宋_GB2312" w:cs="Times New Roman"/>
          <w:sz w:val="32"/>
          <w:szCs w:val="32"/>
        </w:rPr>
        <w:t xml:space="preserve">%。社会保障和就业支出本年支出 </w:t>
      </w:r>
      <w:r>
        <w:rPr>
          <w:rFonts w:hint="eastAsia" w:ascii="Times New Roman" w:hAnsi="Times New Roman" w:eastAsia="仿宋_GB2312" w:cs="Times New Roman"/>
          <w:sz w:val="32"/>
          <w:szCs w:val="32"/>
          <w:lang w:val="en-US" w:eastAsia="zh-CN"/>
        </w:rPr>
        <w:t>68.49</w:t>
      </w:r>
      <w:r>
        <w:rPr>
          <w:rFonts w:hint="eastAsia" w:ascii="Times New Roman" w:hAnsi="Times New Roman" w:eastAsia="仿宋_GB2312" w:cs="Times New Roman"/>
          <w:sz w:val="32"/>
          <w:szCs w:val="32"/>
        </w:rPr>
        <w:t xml:space="preserve">万元，占 </w:t>
      </w:r>
      <w:r>
        <w:rPr>
          <w:rFonts w:hint="eastAsia" w:ascii="Times New Roman" w:hAnsi="Times New Roman" w:eastAsia="仿宋_GB2312" w:cs="Times New Roman"/>
          <w:sz w:val="32"/>
          <w:szCs w:val="32"/>
          <w:lang w:val="en-US" w:eastAsia="zh-CN"/>
        </w:rPr>
        <w:t>77.94</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行政事业养老保险</w:t>
      </w:r>
      <w:r>
        <w:rPr>
          <w:rFonts w:hint="eastAsia" w:ascii="Times New Roman" w:hAnsi="Times New Roman" w:eastAsia="仿宋_GB2312" w:cs="Times New Roman"/>
          <w:sz w:val="32"/>
          <w:szCs w:val="32"/>
        </w:rPr>
        <w:t xml:space="preserve">本年支出 </w:t>
      </w:r>
      <w:r>
        <w:rPr>
          <w:rFonts w:hint="eastAsia" w:ascii="Times New Roman" w:hAnsi="Times New Roman" w:eastAsia="仿宋_GB2312" w:cs="Times New Roman"/>
          <w:sz w:val="32"/>
          <w:szCs w:val="32"/>
          <w:lang w:val="en-US" w:eastAsia="zh-CN"/>
        </w:rPr>
        <w:t>7.89</w:t>
      </w:r>
      <w:r>
        <w:rPr>
          <w:rFonts w:hint="eastAsia" w:ascii="Times New Roman" w:hAnsi="Times New Roman" w:eastAsia="仿宋_GB2312" w:cs="Times New Roman"/>
          <w:sz w:val="32"/>
          <w:szCs w:val="32"/>
        </w:rPr>
        <w:t xml:space="preserve">万元，占 </w:t>
      </w:r>
      <w:r>
        <w:rPr>
          <w:rFonts w:hint="eastAsia" w:ascii="Times New Roman" w:hAnsi="Times New Roman" w:eastAsia="仿宋_GB2312" w:cs="Times New Roman"/>
          <w:sz w:val="32"/>
          <w:szCs w:val="32"/>
          <w:lang w:val="en-US" w:eastAsia="zh-CN"/>
        </w:rPr>
        <w:t>8.98</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卫生健康</w:t>
      </w:r>
      <w:r>
        <w:rPr>
          <w:rFonts w:hint="eastAsia" w:ascii="Times New Roman" w:hAnsi="Times New Roman" w:eastAsia="仿宋_GB2312" w:cs="Times New Roman"/>
          <w:sz w:val="32"/>
          <w:szCs w:val="32"/>
        </w:rPr>
        <w:t xml:space="preserve">本年支出 </w:t>
      </w:r>
      <w:r>
        <w:rPr>
          <w:rFonts w:hint="eastAsia" w:ascii="Times New Roman" w:hAnsi="Times New Roman" w:eastAsia="仿宋_GB2312" w:cs="Times New Roman"/>
          <w:sz w:val="32"/>
          <w:szCs w:val="32"/>
          <w:lang w:val="en-US" w:eastAsia="zh-CN"/>
        </w:rPr>
        <w:t>4.47</w:t>
      </w:r>
      <w:r>
        <w:rPr>
          <w:rFonts w:hint="eastAsia" w:ascii="Times New Roman" w:hAnsi="Times New Roman" w:eastAsia="仿宋_GB2312" w:cs="Times New Roman"/>
          <w:sz w:val="32"/>
          <w:szCs w:val="32"/>
        </w:rPr>
        <w:t xml:space="preserve"> 万元，占</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保障住房</w:t>
      </w:r>
      <w:r>
        <w:rPr>
          <w:rFonts w:hint="eastAsia" w:ascii="Times New Roman" w:hAnsi="Times New Roman" w:eastAsia="仿宋_GB2312" w:cs="Times New Roman"/>
          <w:sz w:val="32"/>
          <w:szCs w:val="32"/>
        </w:rPr>
        <w:t xml:space="preserve">本年支出 </w:t>
      </w:r>
      <w:r>
        <w:rPr>
          <w:rFonts w:hint="eastAsia" w:ascii="Times New Roman" w:hAnsi="Times New Roman" w:eastAsia="仿宋_GB2312" w:cs="Times New Roman"/>
          <w:sz w:val="32"/>
          <w:szCs w:val="32"/>
          <w:lang w:val="en-US" w:eastAsia="zh-CN"/>
        </w:rPr>
        <w:t>5.46</w:t>
      </w:r>
      <w:r>
        <w:rPr>
          <w:rFonts w:hint="eastAsia"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6.21</w:t>
      </w:r>
      <w:r>
        <w:rPr>
          <w:rFonts w:hint="eastAsia" w:ascii="Times New Roman" w:hAnsi="Times New Roman" w:eastAsia="仿宋_GB2312" w:cs="Times New Roman"/>
          <w:sz w:val="32"/>
          <w:szCs w:val="32"/>
        </w:rPr>
        <w:t>%。</w:t>
      </w:r>
    </w:p>
    <w:p>
      <w:pPr>
        <w:pStyle w:val="15"/>
        <w:overflowPunct w:val="0"/>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（三）一般公共预算财政拨款支出决算具体情况</w:t>
      </w:r>
    </w:p>
    <w:p>
      <w:pPr>
        <w:pStyle w:val="15"/>
        <w:overflowPunct w:val="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2024年度财政拨款支出年初预算数为</w:t>
      </w:r>
      <w:r>
        <w:rPr>
          <w:rFonts w:hint="eastAsia" w:ascii="Times New Roman" w:hAnsi="Times New Roman" w:eastAsia="仿宋_GB2312" w:cs="Times New Roman"/>
          <w:sz w:val="32"/>
          <w:szCs w:val="32"/>
          <w:lang w:val="en-US" w:eastAsia="zh-CN"/>
        </w:rPr>
        <w:t>72.96</w:t>
      </w:r>
      <w:r>
        <w:rPr>
          <w:rFonts w:ascii="Times New Roman" w:hAnsi="Times New Roman" w:eastAsia="仿宋_GB2312" w:cs="Times New Roman"/>
          <w:sz w:val="32"/>
          <w:szCs w:val="32"/>
        </w:rPr>
        <w:t>万元，支出决算数为</w:t>
      </w:r>
      <w:r>
        <w:rPr>
          <w:rFonts w:hint="eastAsia" w:ascii="Times New Roman" w:hAnsi="Times New Roman" w:eastAsia="仿宋_GB2312" w:cs="Times New Roman"/>
          <w:sz w:val="32"/>
          <w:szCs w:val="32"/>
          <w:lang w:val="en-US" w:eastAsia="zh-CN"/>
        </w:rPr>
        <w:t>98.07</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134.42</w:t>
      </w:r>
      <w:r>
        <w:rPr>
          <w:rFonts w:ascii="Times New Roman" w:hAnsi="Times New Roman" w:eastAsia="仿宋_GB2312" w:cs="Times New Roman"/>
          <w:sz w:val="32"/>
          <w:szCs w:val="32"/>
        </w:rPr>
        <w:t>%，其中：</w:t>
      </w:r>
    </w:p>
    <w:p>
      <w:pPr>
        <w:pStyle w:val="15"/>
        <w:overflowPunct w:val="0"/>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lang w:eastAsia="zh-CN"/>
        </w:rPr>
        <w:t>科学技术支出</w:t>
      </w:r>
      <w:r>
        <w:rPr>
          <w:rFonts w:hint="eastAsia" w:ascii="Times New Roman" w:hAnsi="Times New Roman" w:eastAsia="仿宋_GB2312" w:cs="Times New Roman"/>
          <w:sz w:val="32"/>
          <w:szCs w:val="32"/>
        </w:rPr>
        <w:t>为</w:t>
      </w:r>
      <w:r>
        <w:rPr>
          <w:rFonts w:hint="eastAsia" w:ascii="Times New Roman" w:hAnsi="Times New Roman" w:eastAsia="仿宋_GB2312" w:cs="Times New Roman"/>
          <w:sz w:val="32"/>
          <w:szCs w:val="32"/>
          <w:lang w:val="en-US" w:eastAsia="zh-CN"/>
        </w:rPr>
        <w:t>9.44</w:t>
      </w:r>
      <w:r>
        <w:rPr>
          <w:rFonts w:hint="eastAsia"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类）</w:t>
      </w:r>
    </w:p>
    <w:p>
      <w:pPr>
        <w:pStyle w:val="15"/>
        <w:overflowPunct w:val="0"/>
        <w:spacing w:line="60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（1）</w:t>
      </w:r>
      <w:r>
        <w:rPr>
          <w:rFonts w:hint="eastAsia" w:ascii="Times New Roman" w:hAnsi="Times New Roman" w:eastAsia="仿宋_GB2312" w:cs="Times New Roman"/>
          <w:sz w:val="32"/>
          <w:szCs w:val="32"/>
          <w:lang w:eastAsia="zh-CN"/>
        </w:rPr>
        <w:t>科学技术管理事务</w:t>
      </w:r>
      <w:r>
        <w:rPr>
          <w:rFonts w:hint="eastAsia" w:ascii="Times New Roman" w:hAnsi="Times New Roman" w:eastAsia="仿宋_GB2312" w:cs="Times New Roman"/>
          <w:sz w:val="32"/>
          <w:szCs w:val="32"/>
          <w:lang w:val="en-US" w:eastAsia="zh-CN"/>
        </w:rPr>
        <w:t>9.44</w:t>
      </w:r>
      <w:r>
        <w:rPr>
          <w:rFonts w:hint="eastAsia" w:ascii="Times New Roman" w:hAnsi="Times New Roman" w:eastAsia="仿宋_GB2312" w:cs="Times New Roman"/>
          <w:sz w:val="32"/>
          <w:szCs w:val="32"/>
        </w:rPr>
        <w:t xml:space="preserve"> 万元（款） 其中：</w:t>
      </w:r>
      <w:r>
        <w:rPr>
          <w:rFonts w:hint="eastAsia" w:ascii="Times New Roman" w:hAnsi="Times New Roman" w:eastAsia="仿宋_GB2312" w:cs="Times New Roman"/>
          <w:sz w:val="32"/>
          <w:szCs w:val="32"/>
          <w:lang w:eastAsia="zh-CN"/>
        </w:rPr>
        <w:t>其他科学技术管理事</w:t>
      </w:r>
      <w:r>
        <w:rPr>
          <w:rFonts w:hint="eastAsia" w:ascii="Times New Roman" w:hAnsi="Times New Roman" w:eastAsia="仿宋_GB2312" w:cs="Times New Roman"/>
          <w:sz w:val="32"/>
          <w:szCs w:val="32"/>
        </w:rPr>
        <w:t xml:space="preserve">务（项）年初无预算，支出决算为 </w:t>
      </w:r>
      <w:r>
        <w:rPr>
          <w:rFonts w:hint="eastAsia" w:ascii="Times New Roman" w:hAnsi="Times New Roman" w:eastAsia="仿宋_GB2312" w:cs="Times New Roman"/>
          <w:sz w:val="32"/>
          <w:szCs w:val="32"/>
          <w:lang w:val="en-US" w:eastAsia="zh-CN"/>
        </w:rPr>
        <w:t>9.44</w:t>
      </w:r>
      <w:r>
        <w:rPr>
          <w:rFonts w:hint="eastAsia" w:ascii="Times New Roman" w:hAnsi="Times New Roman" w:eastAsia="仿宋_GB2312" w:cs="Times New Roman"/>
          <w:sz w:val="32"/>
          <w:szCs w:val="32"/>
        </w:rPr>
        <w:t>万元。决算大于预算的原因主要为该项目年初无预算，为年中追加预算，用于</w:t>
      </w:r>
      <w:r>
        <w:rPr>
          <w:rFonts w:hint="eastAsia" w:ascii="Times New Roman" w:hAnsi="Times New Roman" w:eastAsia="仿宋_GB2312" w:cs="Times New Roman"/>
          <w:sz w:val="32"/>
          <w:szCs w:val="32"/>
          <w:lang w:eastAsia="zh-CN"/>
        </w:rPr>
        <w:t>发放工作人员</w:t>
      </w:r>
      <w:r>
        <w:rPr>
          <w:rFonts w:hint="eastAsia" w:ascii="Times New Roman" w:hAnsi="Times New Roman" w:eastAsia="仿宋_GB2312" w:cs="Times New Roman"/>
          <w:sz w:val="32"/>
          <w:szCs w:val="32"/>
          <w:lang w:val="en-US" w:eastAsia="zh-CN"/>
        </w:rPr>
        <w:t>年终一次性奖励及绩效奖</w:t>
      </w:r>
      <w:r>
        <w:rPr>
          <w:rFonts w:hint="eastAsia" w:ascii="Times New Roman" w:hAnsi="Times New Roman" w:eastAsia="仿宋_GB2312" w:cs="Times New Roman"/>
          <w:sz w:val="32"/>
          <w:szCs w:val="32"/>
        </w:rPr>
        <w:t>。</w:t>
      </w:r>
    </w:p>
    <w:p>
      <w:pPr>
        <w:pStyle w:val="15"/>
        <w:overflowPunct w:val="0"/>
        <w:spacing w:line="60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2、</w:t>
      </w:r>
      <w:r>
        <w:rPr>
          <w:rFonts w:hint="eastAsia" w:ascii="Times New Roman" w:hAnsi="Times New Roman" w:eastAsia="仿宋_GB2312" w:cs="Times New Roman"/>
          <w:sz w:val="32"/>
          <w:szCs w:val="32"/>
          <w:lang w:eastAsia="zh-CN"/>
        </w:rPr>
        <w:t>社会保障就业支出</w:t>
      </w:r>
      <w:r>
        <w:rPr>
          <w:rFonts w:hint="eastAsia" w:ascii="Times New Roman" w:hAnsi="Times New Roman" w:eastAsia="仿宋_GB2312" w:cs="Times New Roman"/>
          <w:sz w:val="32"/>
          <w:szCs w:val="32"/>
          <w:lang w:val="en-US" w:eastAsia="zh-CN"/>
        </w:rPr>
        <w:t>68.49</w:t>
      </w:r>
      <w:r>
        <w:rPr>
          <w:rFonts w:hint="eastAsia" w:ascii="Times New Roman" w:hAnsi="Times New Roman" w:eastAsia="仿宋_GB2312" w:cs="Times New Roman"/>
          <w:sz w:val="32"/>
          <w:szCs w:val="32"/>
        </w:rPr>
        <w:t xml:space="preserve"> 万元（类）</w:t>
      </w:r>
    </w:p>
    <w:p>
      <w:pPr>
        <w:pStyle w:val="15"/>
        <w:overflowPunct w:val="0"/>
        <w:spacing w:line="60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（1）人力资源和社会保障管理事务（款）</w:t>
      </w:r>
    </w:p>
    <w:p>
      <w:pPr>
        <w:pStyle w:val="15"/>
        <w:overflowPunct w:val="0"/>
        <w:spacing w:line="600" w:lineRule="exact"/>
        <w:ind w:firstLine="640" w:firstLineChars="200"/>
        <w:jc w:val="both"/>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 xml:space="preserve"> 其中：劳动</w:t>
      </w:r>
      <w:r>
        <w:rPr>
          <w:rFonts w:hint="eastAsia" w:ascii="Times New Roman" w:hAnsi="Times New Roman" w:eastAsia="仿宋_GB2312" w:cs="Times New Roman"/>
          <w:sz w:val="32"/>
          <w:szCs w:val="32"/>
          <w:lang w:val="en-US" w:eastAsia="zh-CN"/>
        </w:rPr>
        <w:t>人事争议调解仲裁</w:t>
      </w:r>
      <w:r>
        <w:rPr>
          <w:rFonts w:hint="eastAsia" w:ascii="Times New Roman" w:hAnsi="Times New Roman" w:eastAsia="仿宋_GB2312" w:cs="Times New Roman"/>
          <w:sz w:val="32"/>
          <w:szCs w:val="32"/>
        </w:rPr>
        <w:t>（项）年初</w:t>
      </w:r>
      <w:r>
        <w:rPr>
          <w:rFonts w:hint="eastAsia" w:ascii="Times New Roman" w:hAnsi="Times New Roman" w:eastAsia="仿宋_GB2312" w:cs="Times New Roman"/>
          <w:sz w:val="32"/>
          <w:szCs w:val="32"/>
          <w:lang w:eastAsia="zh-CN"/>
        </w:rPr>
        <w:t>预算为</w:t>
      </w:r>
      <w:r>
        <w:rPr>
          <w:rFonts w:hint="eastAsia" w:ascii="Times New Roman" w:hAnsi="Times New Roman" w:eastAsia="仿宋_GB2312" w:cs="Times New Roman"/>
          <w:sz w:val="32"/>
          <w:szCs w:val="32"/>
          <w:lang w:val="en-US" w:eastAsia="zh-CN"/>
        </w:rPr>
        <w:t>55.59万元</w:t>
      </w:r>
      <w:r>
        <w:rPr>
          <w:rFonts w:hint="eastAsia" w:ascii="Times New Roman" w:hAnsi="Times New Roman" w:eastAsia="仿宋_GB2312" w:cs="Times New Roman"/>
          <w:sz w:val="32"/>
          <w:szCs w:val="32"/>
        </w:rPr>
        <w:t>，支出决算为</w:t>
      </w:r>
      <w:r>
        <w:rPr>
          <w:rFonts w:hint="eastAsia" w:ascii="Times New Roman" w:hAnsi="Times New Roman" w:eastAsia="仿宋_GB2312" w:cs="Times New Roman"/>
          <w:sz w:val="32"/>
          <w:szCs w:val="32"/>
          <w:lang w:val="en-US" w:eastAsia="zh-CN"/>
        </w:rPr>
        <w:t>60.60</w:t>
      </w:r>
      <w:r>
        <w:rPr>
          <w:rFonts w:hint="eastAsia" w:ascii="Times New Roman" w:hAnsi="Times New Roman" w:eastAsia="仿宋_GB2312" w:cs="Times New Roman"/>
          <w:sz w:val="32"/>
          <w:szCs w:val="32"/>
        </w:rPr>
        <w:t>万元，</w:t>
      </w:r>
      <w:r>
        <w:rPr>
          <w:rFonts w:hint="eastAsia" w:ascii="Times New Roman" w:hAnsi="Times New Roman" w:eastAsia="仿宋_GB2312" w:cs="Times New Roman"/>
          <w:sz w:val="32"/>
          <w:szCs w:val="32"/>
          <w:lang w:val="en-US" w:eastAsia="zh-CN"/>
        </w:rPr>
        <w:t>完成年初预算的109%，</w:t>
      </w:r>
      <w:r>
        <w:rPr>
          <w:rFonts w:hint="eastAsia" w:ascii="Times New Roman" w:hAnsi="Times New Roman" w:eastAsia="仿宋_GB2312" w:cs="Times New Roman"/>
          <w:sz w:val="32"/>
          <w:szCs w:val="32"/>
        </w:rPr>
        <w:t>决算数大于年初预算数的主要原因</w:t>
      </w:r>
      <w:r>
        <w:rPr>
          <w:rFonts w:hint="eastAsia" w:ascii="Times New Roman" w:hAnsi="Times New Roman" w:eastAsia="仿宋_GB2312" w:cs="Times New Roman"/>
          <w:sz w:val="32"/>
          <w:szCs w:val="32"/>
          <w:lang w:eastAsia="zh-CN"/>
        </w:rPr>
        <w:t>是年中预算调整。</w:t>
      </w:r>
    </w:p>
    <w:p>
      <w:pPr>
        <w:pStyle w:val="15"/>
        <w:overflowPunct w:val="0"/>
        <w:spacing w:line="60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3、行政事业单位养老支出</w:t>
      </w:r>
      <w:r>
        <w:rPr>
          <w:rFonts w:hint="eastAsia" w:ascii="Times New Roman" w:hAnsi="Times New Roman" w:eastAsia="仿宋_GB2312" w:cs="Times New Roman"/>
          <w:sz w:val="32"/>
          <w:szCs w:val="32"/>
          <w:lang w:val="en-US" w:eastAsia="zh-CN"/>
        </w:rPr>
        <w:t>7.89</w:t>
      </w:r>
      <w:r>
        <w:rPr>
          <w:rFonts w:hint="eastAsia" w:ascii="Times New Roman" w:hAnsi="Times New Roman" w:eastAsia="仿宋_GB2312" w:cs="Times New Roman"/>
          <w:sz w:val="32"/>
          <w:szCs w:val="32"/>
        </w:rPr>
        <w:t>万元（类）</w:t>
      </w:r>
    </w:p>
    <w:p>
      <w:pPr>
        <w:pStyle w:val="15"/>
        <w:overflowPunct w:val="0"/>
        <w:spacing w:line="600" w:lineRule="exact"/>
        <w:ind w:firstLine="640"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rPr>
        <w:t xml:space="preserve"> （1）机关事业单位基本养老保险缴费（款）</w:t>
      </w:r>
      <w:r>
        <w:rPr>
          <w:rFonts w:hint="eastAsia" w:ascii="Times New Roman" w:hAnsi="Times New Roman" w:eastAsia="仿宋_GB2312" w:cs="Times New Roman"/>
          <w:sz w:val="32"/>
          <w:szCs w:val="32"/>
          <w:lang w:eastAsia="zh-CN"/>
        </w:rPr>
        <w:t>年初预算为</w:t>
      </w:r>
      <w:r>
        <w:rPr>
          <w:rFonts w:hint="eastAsia"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val="en-US" w:eastAsia="zh-CN"/>
        </w:rPr>
        <w:t>7.89</w:t>
      </w:r>
      <w:r>
        <w:rPr>
          <w:rFonts w:hint="eastAsia" w:ascii="Times New Roman" w:hAnsi="Times New Roman" w:eastAsia="仿宋_GB2312" w:cs="Times New Roman"/>
          <w:sz w:val="32"/>
          <w:szCs w:val="32"/>
        </w:rPr>
        <w:t xml:space="preserve"> 万元</w:t>
      </w:r>
      <w:r>
        <w:rPr>
          <w:rFonts w:hint="eastAsia" w:ascii="Times New Roman" w:hAnsi="Times New Roman" w:eastAsia="仿宋_GB2312" w:cs="Times New Roman"/>
          <w:sz w:val="32"/>
          <w:szCs w:val="32"/>
          <w:lang w:eastAsia="zh-CN"/>
        </w:rPr>
        <w:t>，支出决算为</w:t>
      </w:r>
      <w:r>
        <w:rPr>
          <w:rFonts w:hint="eastAsia" w:ascii="Times New Roman" w:hAnsi="Times New Roman" w:eastAsia="仿宋_GB2312" w:cs="Times New Roman"/>
          <w:sz w:val="32"/>
          <w:szCs w:val="32"/>
          <w:lang w:val="en-US" w:eastAsia="zh-CN"/>
        </w:rPr>
        <w:t>7.89万元，完成年初预算的100%。</w:t>
      </w:r>
    </w:p>
    <w:p>
      <w:pPr>
        <w:pStyle w:val="15"/>
        <w:overflowPunct w:val="0"/>
        <w:spacing w:line="60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4、卫生健康支出 </w:t>
      </w:r>
      <w:r>
        <w:rPr>
          <w:rFonts w:hint="eastAsia" w:ascii="Times New Roman" w:hAnsi="Times New Roman" w:eastAsia="仿宋_GB2312" w:cs="Times New Roman"/>
          <w:sz w:val="32"/>
          <w:szCs w:val="32"/>
          <w:lang w:val="en-US" w:eastAsia="zh-CN"/>
        </w:rPr>
        <w:t>4.47</w:t>
      </w:r>
      <w:r>
        <w:rPr>
          <w:rFonts w:hint="eastAsia" w:ascii="Times New Roman" w:hAnsi="Times New Roman" w:eastAsia="仿宋_GB2312" w:cs="Times New Roman"/>
          <w:sz w:val="32"/>
          <w:szCs w:val="32"/>
        </w:rPr>
        <w:t>万元（类）</w:t>
      </w:r>
    </w:p>
    <w:p>
      <w:pPr>
        <w:pStyle w:val="15"/>
        <w:overflowPunct w:val="0"/>
        <w:spacing w:line="600" w:lineRule="exact"/>
        <w:ind w:firstLine="640" w:firstLineChars="200"/>
        <w:jc w:val="both"/>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 xml:space="preserve"> （1）行政事业单位医疗</w:t>
      </w:r>
      <w:r>
        <w:rPr>
          <w:rFonts w:hint="eastAsia" w:ascii="Times New Roman" w:hAnsi="Times New Roman" w:eastAsia="仿宋_GB2312" w:cs="Times New Roman"/>
          <w:sz w:val="32"/>
          <w:szCs w:val="32"/>
          <w:lang w:val="en-US" w:eastAsia="zh-CN"/>
        </w:rPr>
        <w:t>4.01</w:t>
      </w:r>
      <w:r>
        <w:rPr>
          <w:rFonts w:hint="eastAsia" w:ascii="Times New Roman" w:hAnsi="Times New Roman" w:eastAsia="仿宋_GB2312" w:cs="Times New Roman"/>
          <w:sz w:val="32"/>
          <w:szCs w:val="32"/>
        </w:rPr>
        <w:t xml:space="preserve">万元（款） 其中：事业单位医疗（项）年初预算为 </w:t>
      </w:r>
      <w:r>
        <w:rPr>
          <w:rFonts w:hint="eastAsia" w:ascii="Times New Roman" w:hAnsi="Times New Roman" w:eastAsia="仿宋_GB2312" w:cs="Times New Roman"/>
          <w:sz w:val="32"/>
          <w:szCs w:val="32"/>
          <w:lang w:val="en-US" w:eastAsia="zh-CN"/>
        </w:rPr>
        <w:t>4.01</w:t>
      </w:r>
      <w:r>
        <w:rPr>
          <w:rFonts w:hint="eastAsia" w:ascii="Times New Roman" w:hAnsi="Times New Roman" w:eastAsia="仿宋_GB2312" w:cs="Times New Roman"/>
          <w:sz w:val="32"/>
          <w:szCs w:val="32"/>
        </w:rPr>
        <w:t xml:space="preserve"> 万元，支出决算为 </w:t>
      </w:r>
      <w:r>
        <w:rPr>
          <w:rFonts w:hint="eastAsia" w:ascii="Times New Roman" w:hAnsi="Times New Roman" w:eastAsia="仿宋_GB2312" w:cs="Times New Roman"/>
          <w:sz w:val="32"/>
          <w:szCs w:val="32"/>
          <w:lang w:val="en-US" w:eastAsia="zh-CN"/>
        </w:rPr>
        <w:t>4.01</w:t>
      </w:r>
      <w:r>
        <w:rPr>
          <w:rFonts w:hint="eastAsia" w:ascii="Times New Roman" w:hAnsi="Times New Roman" w:eastAsia="仿宋_GB2312" w:cs="Times New Roman"/>
          <w:sz w:val="32"/>
          <w:szCs w:val="32"/>
        </w:rPr>
        <w:t xml:space="preserve">万元，完成年初预算的 </w:t>
      </w:r>
      <w:r>
        <w:rPr>
          <w:rFonts w:hint="eastAsia" w:ascii="Times New Roman" w:hAnsi="Times New Roman" w:eastAsia="仿宋_GB2312" w:cs="Times New Roman"/>
          <w:sz w:val="32"/>
          <w:szCs w:val="32"/>
          <w:lang w:val="en-US" w:eastAsia="zh-CN"/>
        </w:rPr>
        <w:t>100</w:t>
      </w:r>
      <w:r>
        <w:rPr>
          <w:rFonts w:hint="eastAsia" w:ascii="Times New Roman" w:hAnsi="Times New Roman" w:eastAsia="仿宋_GB2312" w:cs="Times New Roman"/>
          <w:sz w:val="32"/>
          <w:szCs w:val="32"/>
        </w:rPr>
        <w:t>%。公务员医疗补助</w:t>
      </w:r>
      <w:r>
        <w:rPr>
          <w:rFonts w:hint="eastAsia" w:ascii="Times New Roman" w:hAnsi="Times New Roman" w:eastAsia="仿宋_GB2312" w:cs="Times New Roman"/>
          <w:sz w:val="32"/>
          <w:szCs w:val="32"/>
          <w:lang w:eastAsia="zh-CN"/>
        </w:rPr>
        <w:t>（项）年初预算为</w:t>
      </w:r>
      <w:r>
        <w:rPr>
          <w:rFonts w:hint="eastAsia" w:ascii="Times New Roman" w:hAnsi="Times New Roman" w:eastAsia="仿宋_GB2312" w:cs="Times New Roman"/>
          <w:sz w:val="32"/>
          <w:szCs w:val="32"/>
          <w:lang w:val="en-US" w:eastAsia="zh-CN"/>
        </w:rPr>
        <w:t>0万元，</w:t>
      </w:r>
      <w:r>
        <w:rPr>
          <w:rFonts w:hint="eastAsia" w:ascii="Times New Roman" w:hAnsi="Times New Roman" w:eastAsia="仿宋_GB2312" w:cs="Times New Roman"/>
          <w:sz w:val="32"/>
          <w:szCs w:val="32"/>
        </w:rPr>
        <w:t>决算数大于预算数的主要原因</w:t>
      </w:r>
      <w:r>
        <w:rPr>
          <w:rFonts w:hint="eastAsia" w:ascii="Times New Roman" w:hAnsi="Times New Roman" w:eastAsia="仿宋_GB2312" w:cs="Times New Roman"/>
          <w:sz w:val="32"/>
          <w:szCs w:val="32"/>
          <w:lang w:eastAsia="zh-CN"/>
        </w:rPr>
        <w:t>公务员医疗补助年初未列入预算；</w:t>
      </w:r>
    </w:p>
    <w:p>
      <w:pPr>
        <w:pStyle w:val="15"/>
        <w:overflowPunct w:val="0"/>
        <w:spacing w:line="600" w:lineRule="exact"/>
        <w:ind w:firstLine="640"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5、住房保障支出5.46万元（类）</w:t>
      </w:r>
    </w:p>
    <w:p>
      <w:pPr>
        <w:pStyle w:val="15"/>
        <w:overflowPunct w:val="0"/>
        <w:spacing w:line="600" w:lineRule="exact"/>
        <w:ind w:firstLine="640"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）住房改革支出</w:t>
      </w:r>
      <w:r>
        <w:rPr>
          <w:rFonts w:hint="eastAsia" w:ascii="Times New Roman" w:hAnsi="Times New Roman" w:eastAsia="仿宋_GB2312" w:cs="Times New Roman"/>
          <w:sz w:val="32"/>
          <w:szCs w:val="32"/>
          <w:lang w:val="en-US" w:eastAsia="zh-CN"/>
        </w:rPr>
        <w:t>5.46万元（款）其中：住房公积金（项）</w:t>
      </w:r>
    </w:p>
    <w:p>
      <w:pPr>
        <w:pStyle w:val="15"/>
        <w:overflowPunct w:val="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5.46</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5.46</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p>
    <w:p>
      <w:pPr>
        <w:pStyle w:val="15"/>
        <w:numPr>
          <w:ilvl w:val="0"/>
          <w:numId w:val="2"/>
        </w:numPr>
        <w:overflowPunct w:val="0"/>
        <w:spacing w:line="600" w:lineRule="exact"/>
        <w:ind w:firstLine="640" w:firstLineChars="200"/>
        <w:jc w:val="both"/>
        <w:rPr>
          <w:rFonts w:hint="eastAsia" w:ascii="Times New Roman" w:hAnsi="Times New Roman" w:cs="Times New Roman"/>
          <w:bCs/>
          <w:sz w:val="32"/>
          <w:szCs w:val="32"/>
          <w:lang w:eastAsia="zh-CN"/>
        </w:rPr>
      </w:pPr>
      <w:r>
        <w:rPr>
          <w:rFonts w:ascii="Times New Roman" w:hAnsi="Times New Roman" w:cs="Times New Roman"/>
          <w:bCs/>
          <w:sz w:val="32"/>
          <w:szCs w:val="32"/>
        </w:rPr>
        <w:t>一般公共预算财政拨款基本支出决算情况说明</w:t>
      </w:r>
      <w:r>
        <w:rPr>
          <w:rFonts w:hint="eastAsia" w:ascii="Times New Roman" w:hAnsi="Times New Roman" w:cs="Times New Roman"/>
          <w:bCs/>
          <w:sz w:val="32"/>
          <w:szCs w:val="32"/>
          <w:lang w:eastAsia="zh-CN"/>
        </w:rPr>
        <w:t>、</w:t>
      </w:r>
    </w:p>
    <w:p>
      <w:pPr>
        <w:pStyle w:val="15"/>
        <w:overflowPunct w:val="0"/>
        <w:spacing w:line="600" w:lineRule="exact"/>
        <w:ind w:firstLine="640" w:firstLineChars="200"/>
        <w:jc w:val="both"/>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202</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lang w:eastAsia="zh-CN"/>
        </w:rPr>
        <w:t>年度财政拨款基本支出</w:t>
      </w:r>
      <w:r>
        <w:rPr>
          <w:rFonts w:hint="eastAsia" w:ascii="Times New Roman" w:hAnsi="Times New Roman" w:eastAsia="仿宋_GB2312" w:cs="Times New Roman"/>
          <w:sz w:val="32"/>
          <w:szCs w:val="32"/>
          <w:lang w:val="en-US" w:eastAsia="zh-CN"/>
        </w:rPr>
        <w:t>92.87</w:t>
      </w:r>
      <w:r>
        <w:rPr>
          <w:rFonts w:hint="eastAsia" w:ascii="Times New Roman" w:hAnsi="Times New Roman" w:eastAsia="仿宋_GB2312" w:cs="Times New Roman"/>
          <w:sz w:val="32"/>
          <w:szCs w:val="32"/>
          <w:lang w:eastAsia="zh-CN"/>
        </w:rPr>
        <w:t>万元，其中：</w:t>
      </w:r>
    </w:p>
    <w:p>
      <w:pPr>
        <w:pStyle w:val="15"/>
        <w:overflowPunct w:val="0"/>
        <w:spacing w:line="600" w:lineRule="exact"/>
        <w:ind w:firstLine="640" w:firstLineChars="200"/>
        <w:jc w:val="both"/>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人员经费</w:t>
      </w:r>
      <w:r>
        <w:rPr>
          <w:rFonts w:hint="eastAsia" w:ascii="Times New Roman" w:hAnsi="Times New Roman" w:eastAsia="仿宋_GB2312" w:cs="Times New Roman"/>
          <w:sz w:val="32"/>
          <w:szCs w:val="32"/>
          <w:lang w:val="en-US" w:eastAsia="zh-CN"/>
        </w:rPr>
        <w:t>79.87</w:t>
      </w:r>
      <w:r>
        <w:rPr>
          <w:rFonts w:hint="eastAsia" w:ascii="Times New Roman" w:hAnsi="Times New Roman" w:eastAsia="仿宋_GB2312" w:cs="Times New Roman"/>
          <w:sz w:val="32"/>
          <w:szCs w:val="32"/>
          <w:lang w:eastAsia="zh-CN"/>
        </w:rPr>
        <w:t>万元，占基本支出的</w:t>
      </w:r>
      <w:r>
        <w:rPr>
          <w:rFonts w:hint="eastAsia" w:ascii="Times New Roman" w:hAnsi="Times New Roman" w:eastAsia="仿宋_GB2312" w:cs="Times New Roman"/>
          <w:sz w:val="32"/>
          <w:szCs w:val="32"/>
          <w:lang w:val="en-US" w:eastAsia="zh-CN"/>
        </w:rPr>
        <w:t>86</w:t>
      </w:r>
      <w:r>
        <w:rPr>
          <w:rFonts w:hint="eastAsia" w:ascii="Times New Roman" w:hAnsi="Times New Roman" w:eastAsia="仿宋_GB2312" w:cs="Times New Roman"/>
          <w:sz w:val="32"/>
          <w:szCs w:val="32"/>
          <w:lang w:eastAsia="zh-CN"/>
        </w:rPr>
        <w:t>%，主要包括基本工资、津贴补贴、奖金、社保缴费、住房公积金、对个人家庭补助支出等；</w:t>
      </w:r>
    </w:p>
    <w:p>
      <w:pPr>
        <w:pStyle w:val="15"/>
        <w:overflowPunct w:val="0"/>
        <w:spacing w:line="600" w:lineRule="exact"/>
        <w:ind w:firstLine="640" w:firstLineChars="200"/>
        <w:jc w:val="both"/>
        <w:rPr>
          <w:rFonts w:hint="eastAsia" w:ascii="Times New Roman" w:hAnsi="Times New Roman" w:cs="Times New Roman"/>
          <w:bCs/>
          <w:sz w:val="32"/>
          <w:szCs w:val="32"/>
          <w:lang w:eastAsia="zh-CN"/>
        </w:rPr>
      </w:pPr>
      <w:r>
        <w:rPr>
          <w:rFonts w:hint="eastAsia" w:ascii="Times New Roman" w:hAnsi="Times New Roman" w:eastAsia="仿宋_GB2312" w:cs="Times New Roman"/>
          <w:sz w:val="32"/>
          <w:szCs w:val="32"/>
          <w:lang w:eastAsia="zh-CN"/>
        </w:rPr>
        <w:t>公用经费</w:t>
      </w:r>
      <w:r>
        <w:rPr>
          <w:rFonts w:hint="eastAsia" w:ascii="Times New Roman" w:hAnsi="Times New Roman" w:eastAsia="仿宋_GB2312" w:cs="Times New Roman"/>
          <w:sz w:val="32"/>
          <w:szCs w:val="32"/>
          <w:lang w:val="en-US" w:eastAsia="zh-CN"/>
        </w:rPr>
        <w:t>7.99</w:t>
      </w:r>
      <w:r>
        <w:rPr>
          <w:rFonts w:hint="eastAsia" w:ascii="Times New Roman" w:hAnsi="Times New Roman" w:eastAsia="仿宋_GB2312" w:cs="Times New Roman"/>
          <w:sz w:val="32"/>
          <w:szCs w:val="32"/>
          <w:lang w:eastAsia="zh-CN"/>
        </w:rPr>
        <w:t>万元，占基本支出的</w:t>
      </w:r>
      <w:r>
        <w:rPr>
          <w:rFonts w:hint="eastAsia" w:ascii="Times New Roman" w:hAnsi="Times New Roman" w:eastAsia="仿宋_GB2312" w:cs="Times New Roman"/>
          <w:sz w:val="32"/>
          <w:szCs w:val="32"/>
          <w:lang w:val="en-US" w:eastAsia="zh-CN"/>
        </w:rPr>
        <w:t>8.6</w:t>
      </w:r>
      <w:r>
        <w:rPr>
          <w:rFonts w:hint="eastAsia" w:ascii="Times New Roman" w:hAnsi="Times New Roman" w:eastAsia="仿宋_GB2312" w:cs="Times New Roman"/>
          <w:sz w:val="32"/>
          <w:szCs w:val="32"/>
          <w:lang w:eastAsia="zh-CN"/>
        </w:rPr>
        <w:t>%。主要包括办公费、印刷费、水费、电费、取暖费、差旅费、培训费、会议费、公务接待费、公务用车运行维护费等费用。</w:t>
      </w:r>
    </w:p>
    <w:p>
      <w:pPr>
        <w:pStyle w:val="15"/>
        <w:overflowPunct w:val="0"/>
        <w:spacing w:line="600" w:lineRule="exact"/>
        <w:ind w:firstLine="640" w:firstLineChars="200"/>
        <w:jc w:val="both"/>
        <w:rPr>
          <w:rFonts w:ascii="Times New Roman" w:hAnsi="Times New Roman" w:eastAsia="仿宋_GB2312" w:cs="Times New Roman"/>
          <w:b/>
          <w:sz w:val="32"/>
          <w:szCs w:val="32"/>
        </w:rPr>
      </w:pPr>
      <w:r>
        <w:rPr>
          <w:rFonts w:ascii="Times New Roman" w:hAnsi="Times New Roman" w:cs="Times New Roman"/>
          <w:bCs/>
          <w:sz w:val="32"/>
          <w:szCs w:val="32"/>
        </w:rPr>
        <w:t>七、财政拨款“三公”经费支出决算情况说明</w:t>
      </w:r>
    </w:p>
    <w:p>
      <w:pPr>
        <w:pStyle w:val="15"/>
        <w:numPr>
          <w:ilvl w:val="0"/>
          <w:numId w:val="0"/>
        </w:numPr>
        <w:overflowPunct w:val="0"/>
        <w:spacing w:line="600" w:lineRule="exact"/>
        <w:ind w:firstLine="960" w:firstLineChars="300"/>
        <w:jc w:val="both"/>
        <w:rPr>
          <w:rFonts w:hint="eastAsia" w:ascii="Times New Roman" w:hAnsi="Times New Roman" w:eastAsia="仿宋_GB2312" w:cs="Times New Roman"/>
          <w:sz w:val="32"/>
          <w:szCs w:val="32"/>
          <w:lang w:eastAsia="zh-CN"/>
        </w:rPr>
      </w:pPr>
      <w:r>
        <w:rPr>
          <w:rFonts w:ascii="Times New Roman" w:hAnsi="Times New Roman" w:eastAsia="楷体_GB2312" w:cs="Times New Roman"/>
          <w:b/>
          <w:sz w:val="32"/>
          <w:szCs w:val="32"/>
        </w:rPr>
        <w:t>（一）“三公”经费财政拨款支出决算总体情况说明</w:t>
      </w:r>
      <w:r>
        <w:rPr>
          <w:rFonts w:hint="eastAsia" w:ascii="Times New Roman" w:hAnsi="Times New Roman" w:eastAsia="仿宋_GB2312" w:cs="Times New Roman"/>
          <w:sz w:val="32"/>
          <w:szCs w:val="32"/>
          <w:lang w:eastAsia="zh-CN"/>
        </w:rPr>
        <w:t>“三公”经费财政拨款支出预算为</w:t>
      </w:r>
      <w:r>
        <w:rPr>
          <w:rFonts w:hint="eastAsia" w:ascii="Times New Roman" w:hAnsi="Times New Roman" w:eastAsia="仿宋_GB2312" w:cs="Times New Roman"/>
          <w:sz w:val="32"/>
          <w:szCs w:val="32"/>
          <w:lang w:val="en-US" w:eastAsia="zh-CN"/>
        </w:rPr>
        <w:t>0.19</w:t>
      </w:r>
      <w:r>
        <w:rPr>
          <w:rFonts w:hint="eastAsia" w:ascii="Times New Roman" w:hAnsi="Times New Roman" w:eastAsia="仿宋_GB2312" w:cs="Times New Roman"/>
          <w:sz w:val="32"/>
          <w:szCs w:val="32"/>
          <w:lang w:eastAsia="zh-CN"/>
        </w:rPr>
        <w:t xml:space="preserve"> 万元，支出决算为 </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lang w:eastAsia="zh-CN"/>
        </w:rPr>
        <w:t>万元，完成预算的</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lang w:eastAsia="zh-CN"/>
        </w:rPr>
        <w:t>%，决算数小于预算数的主要原因是：本年度无公务接待支出；其中：</w:t>
      </w:r>
    </w:p>
    <w:p>
      <w:pPr>
        <w:pStyle w:val="15"/>
        <w:overflowPunct w:val="0"/>
        <w:spacing w:line="600" w:lineRule="exact"/>
        <w:ind w:firstLine="640" w:firstLineChars="200"/>
        <w:jc w:val="both"/>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因公出国（境）费支出预算为0.00万元，支出决算为0.00万元，完成预算的0.00%。</w:t>
      </w:r>
    </w:p>
    <w:p>
      <w:pPr>
        <w:pStyle w:val="15"/>
        <w:overflowPunct w:val="0"/>
        <w:spacing w:line="600" w:lineRule="exact"/>
        <w:ind w:firstLine="640" w:firstLineChars="200"/>
        <w:jc w:val="both"/>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公务接待费支出预算为</w:t>
      </w:r>
      <w:r>
        <w:rPr>
          <w:rFonts w:hint="eastAsia" w:ascii="Times New Roman" w:hAnsi="Times New Roman" w:eastAsia="仿宋_GB2312" w:cs="Times New Roman"/>
          <w:sz w:val="32"/>
          <w:szCs w:val="32"/>
          <w:lang w:val="en-US" w:eastAsia="zh-CN"/>
        </w:rPr>
        <w:t>0.19</w:t>
      </w:r>
      <w:r>
        <w:rPr>
          <w:rFonts w:hint="eastAsia" w:ascii="Times New Roman" w:hAnsi="Times New Roman" w:eastAsia="仿宋_GB2312" w:cs="Times New Roman"/>
          <w:sz w:val="32"/>
          <w:szCs w:val="32"/>
          <w:lang w:eastAsia="zh-CN"/>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lang w:eastAsia="zh-CN"/>
        </w:rPr>
        <w:t>万元，完成预算的</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lang w:eastAsia="zh-CN"/>
        </w:rPr>
        <w:t>%，支出决算数小于预算数的主要原因是：本年度公务接待费按实际开支；</w:t>
      </w:r>
    </w:p>
    <w:p>
      <w:pPr>
        <w:pStyle w:val="15"/>
        <w:overflowPunct w:val="0"/>
        <w:spacing w:line="600" w:lineRule="exact"/>
        <w:ind w:firstLine="640" w:firstLineChars="200"/>
        <w:jc w:val="both"/>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公务用车购置费支出预算为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lang w:eastAsia="zh-CN"/>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lang w:eastAsia="zh-CN"/>
        </w:rPr>
        <w:t>万元，完成预算的</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lang w:eastAsia="zh-CN"/>
        </w:rPr>
        <w:t>%；</w:t>
      </w:r>
    </w:p>
    <w:p>
      <w:pPr>
        <w:pStyle w:val="15"/>
        <w:overflowPunct w:val="0"/>
        <w:spacing w:line="600" w:lineRule="exact"/>
        <w:ind w:firstLine="640" w:firstLineChars="200"/>
        <w:jc w:val="both"/>
        <w:rPr>
          <w:rFonts w:ascii="Times New Roman" w:hAnsi="Times New Roman" w:eastAsia="楷体_GB2312" w:cs="Times New Roman"/>
          <w:b/>
          <w:sz w:val="32"/>
          <w:szCs w:val="32"/>
        </w:rPr>
      </w:pPr>
      <w:r>
        <w:rPr>
          <w:rFonts w:hint="eastAsia" w:ascii="Times New Roman" w:hAnsi="Times New Roman" w:eastAsia="仿宋_GB2312" w:cs="Times New Roman"/>
          <w:sz w:val="32"/>
          <w:szCs w:val="32"/>
          <w:lang w:eastAsia="zh-CN"/>
        </w:rPr>
        <w:t>公务用车运行维护费支出预算为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lang w:eastAsia="zh-CN"/>
        </w:rPr>
        <w:t xml:space="preserve">万元，支出决算为 </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lang w:eastAsia="zh-CN"/>
        </w:rPr>
        <w:t>万元，完成预算的</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lang w:eastAsia="zh-CN"/>
        </w:rPr>
        <w:t>%。</w:t>
      </w:r>
    </w:p>
    <w:p>
      <w:pPr>
        <w:pStyle w:val="15"/>
        <w:overflowPunct w:val="0"/>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（二）“三公”经费财政拨款支出决算具体情况说明</w:t>
      </w:r>
    </w:p>
    <w:p>
      <w:pPr>
        <w:pStyle w:val="15"/>
        <w:overflowPunct w:val="0"/>
        <w:spacing w:line="600" w:lineRule="exact"/>
        <w:ind w:firstLine="640" w:firstLineChars="200"/>
        <w:jc w:val="both"/>
        <w:rPr>
          <w:rFonts w:hint="eastAsia" w:ascii="Times New Roman" w:hAnsi="Times New Roman" w:eastAsia="仿宋_GB2312" w:cs="Times New Roman"/>
          <w:b/>
          <w:bCs/>
          <w:i/>
          <w:color w:val="auto"/>
          <w:sz w:val="32"/>
          <w:szCs w:val="32"/>
          <w:lang w:eastAsia="zh-CN"/>
        </w:rPr>
      </w:pPr>
      <w:r>
        <w:rPr>
          <w:rFonts w:ascii="Times New Roman" w:hAnsi="Times New Roman" w:eastAsia="仿宋_GB2312" w:cs="Times New Roman"/>
          <w:sz w:val="32"/>
          <w:szCs w:val="32"/>
        </w:rPr>
        <w:t>1.因公出国（境）费支出预算为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%；2024年度安排因公出国（境）团组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个，累计</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人次</w:t>
      </w:r>
      <w:r>
        <w:rPr>
          <w:rFonts w:hint="eastAsia" w:ascii="Times New Roman" w:hAnsi="Times New Roman" w:eastAsia="仿宋_GB2312" w:cs="Times New Roman"/>
          <w:sz w:val="32"/>
          <w:szCs w:val="32"/>
          <w:lang w:eastAsia="zh-CN"/>
        </w:rPr>
        <w:t>。</w:t>
      </w:r>
    </w:p>
    <w:p>
      <w:pPr>
        <w:pStyle w:val="15"/>
        <w:overflowPunct w:val="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2.公务用车购置费及运行维护费支出预算为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%；其中：</w:t>
      </w:r>
    </w:p>
    <w:p>
      <w:pPr>
        <w:pStyle w:val="15"/>
        <w:overflowPunct w:val="0"/>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公务用车购置费支出预算为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%；公务用车运行维护费支出预算为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w:t>
      </w:r>
    </w:p>
    <w:p>
      <w:pPr>
        <w:pStyle w:val="15"/>
        <w:overflowPunct w:val="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截止2024年12月31日，我单位开支财政拨款的公务用车保有量为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辆。</w:t>
      </w:r>
    </w:p>
    <w:p>
      <w:pPr>
        <w:pStyle w:val="15"/>
        <w:numPr>
          <w:ilvl w:val="0"/>
          <w:numId w:val="3"/>
        </w:numPr>
        <w:overflowPunct w:val="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公务接待费支出预算为</w:t>
      </w:r>
      <w:r>
        <w:rPr>
          <w:rFonts w:hint="eastAsia" w:ascii="Times New Roman" w:hAnsi="Times New Roman" w:eastAsia="仿宋_GB2312" w:cs="Times New Roman"/>
          <w:sz w:val="32"/>
          <w:szCs w:val="32"/>
          <w:lang w:val="en-US" w:eastAsia="zh-CN"/>
        </w:rPr>
        <w:t>0.19</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%；与上年</w:t>
      </w:r>
      <w:r>
        <w:rPr>
          <w:rFonts w:hint="eastAsia" w:ascii="Times New Roman" w:hAnsi="Times New Roman" w:eastAsia="仿宋_GB2312" w:cs="Times New Roman"/>
          <w:sz w:val="32"/>
          <w:szCs w:val="32"/>
          <w:lang w:val="en-US" w:eastAsia="zh-CN"/>
        </w:rPr>
        <w:t>一致</w:t>
      </w:r>
      <w:r>
        <w:rPr>
          <w:rFonts w:ascii="Times New Roman" w:hAnsi="Times New Roman" w:eastAsia="仿宋_GB2312" w:cs="Times New Roman"/>
          <w:sz w:val="32"/>
          <w:szCs w:val="32"/>
        </w:rPr>
        <w:t>。2024年度共接待来访团组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个、来宾</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人次</w:t>
      </w:r>
      <w:r>
        <w:rPr>
          <w:rFonts w:hint="eastAsia" w:ascii="Times New Roman" w:hAnsi="Times New Roman" w:eastAsia="仿宋_GB2312" w:cs="Times New Roman"/>
          <w:sz w:val="32"/>
          <w:szCs w:val="32"/>
          <w:lang w:eastAsia="zh-CN"/>
        </w:rPr>
        <w:t>。</w:t>
      </w:r>
    </w:p>
    <w:p>
      <w:pPr>
        <w:pStyle w:val="15"/>
        <w:numPr>
          <w:ilvl w:val="0"/>
          <w:numId w:val="0"/>
        </w:numPr>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八、政府性基金预算收入支出决算情况</w:t>
      </w:r>
    </w:p>
    <w:p>
      <w:pPr>
        <w:pStyle w:val="15"/>
        <w:overflowPunct w:val="0"/>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2024年度政府性基金预算财政拨款收</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万元；年初结转和结余</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万元，其中基本</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万元，项目支出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万元；年末结转和结余</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万元。具体情况如下：本单位无政府性基金收支</w:t>
      </w:r>
      <w:r>
        <w:rPr>
          <w:rFonts w:hint="eastAsia" w:ascii="Times New Roman" w:hAnsi="Times New Roman" w:eastAsia="仿宋_GB2312" w:cs="Times New Roman"/>
          <w:sz w:val="32"/>
          <w:szCs w:val="32"/>
          <w:lang w:eastAsia="zh-CN"/>
        </w:rPr>
        <w:t>。</w:t>
      </w:r>
    </w:p>
    <w:p>
      <w:pPr>
        <w:pStyle w:val="15"/>
        <w:numPr>
          <w:ilvl w:val="0"/>
          <w:numId w:val="0"/>
        </w:numPr>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九、</w:t>
      </w:r>
      <w:r>
        <w:rPr>
          <w:rFonts w:hint="eastAsia" w:ascii="Times New Roman" w:hAnsi="Times New Roman" w:cs="Times New Roman"/>
          <w:bCs/>
          <w:sz w:val="32"/>
          <w:szCs w:val="32"/>
          <w:lang w:eastAsia="zh-CN"/>
        </w:rPr>
        <w:t>国有资本经营预算财政拨款收入支出情况说明</w:t>
      </w:r>
    </w:p>
    <w:p>
      <w:pPr>
        <w:pStyle w:val="15"/>
        <w:overflowPunct w:val="0"/>
        <w:spacing w:line="600" w:lineRule="exact"/>
        <w:ind w:firstLine="640" w:firstLineChars="200"/>
        <w:jc w:val="both"/>
        <w:rPr>
          <w:rFonts w:hint="eastAsia" w:ascii="Times New Roman" w:hAnsi="Times New Roman" w:eastAsia="仿宋_GB2312" w:cs="Times New Roman"/>
          <w:sz w:val="32"/>
          <w:szCs w:val="32"/>
          <w:lang w:eastAsia="zh-CN"/>
        </w:rPr>
      </w:pPr>
      <w:r>
        <w:rPr>
          <w:rFonts w:hint="eastAsia" w:ascii="仿宋_GB2312" w:hAnsi="仿宋_GB2312" w:eastAsia="仿宋_GB2312" w:cs="仿宋_GB2312"/>
          <w:bCs/>
          <w:sz w:val="32"/>
          <w:szCs w:val="32"/>
          <w:lang w:val="en-US" w:eastAsia="zh-CN"/>
        </w:rPr>
        <w:t>2024年度国有资本经营预算财政拨款收入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万元；年初结转和结余</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万元；年末结转和结余</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p>
    <w:p>
      <w:pPr>
        <w:pStyle w:val="15"/>
        <w:numPr>
          <w:ilvl w:val="0"/>
          <w:numId w:val="4"/>
        </w:numPr>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关于机关运行经费支出说明</w:t>
      </w:r>
    </w:p>
    <w:p>
      <w:pPr>
        <w:pStyle w:val="15"/>
        <w:numPr>
          <w:ilvl w:val="0"/>
          <w:numId w:val="0"/>
        </w:numPr>
        <w:overflowPunct w:val="0"/>
        <w:spacing w:line="600" w:lineRule="exact"/>
        <w:ind w:firstLine="640" w:firstLineChars="200"/>
        <w:jc w:val="both"/>
        <w:rPr>
          <w:rFonts w:hint="eastAsia" w:ascii="Times New Roman" w:hAnsi="Times New Roman" w:eastAsia="黑体" w:cs="Times New Roman"/>
          <w:bCs/>
          <w:sz w:val="32"/>
          <w:szCs w:val="32"/>
          <w:lang w:val="en-US" w:eastAsia="zh-CN"/>
        </w:rPr>
      </w:pPr>
      <w:r>
        <w:rPr>
          <w:rFonts w:hint="eastAsia" w:ascii="Times New Roman" w:hAnsi="Times New Roman" w:eastAsia="仿宋_GB2312" w:cs="Times New Roman"/>
          <w:sz w:val="32"/>
          <w:szCs w:val="32"/>
          <w:lang w:val="en-US" w:eastAsia="zh-CN"/>
        </w:rPr>
        <w:t>本单位为非参公管理事业单位，所以无机关运行经费支出。</w:t>
      </w:r>
    </w:p>
    <w:p>
      <w:pPr>
        <w:pStyle w:val="15"/>
        <w:numPr>
          <w:ilvl w:val="0"/>
          <w:numId w:val="0"/>
        </w:numPr>
        <w:overflowPunct w:val="0"/>
        <w:spacing w:line="600" w:lineRule="exact"/>
        <w:ind w:leftChars="200" w:firstLine="320" w:firstLineChars="100"/>
        <w:jc w:val="both"/>
        <w:rPr>
          <w:rFonts w:ascii="Times New Roman" w:hAnsi="Times New Roman" w:cs="Times New Roman"/>
          <w:bCs/>
          <w:sz w:val="32"/>
          <w:szCs w:val="32"/>
        </w:rPr>
      </w:pPr>
      <w:r>
        <w:rPr>
          <w:rFonts w:hint="eastAsia" w:ascii="Times New Roman" w:hAnsi="Times New Roman" w:cs="Times New Roman"/>
          <w:bCs/>
          <w:sz w:val="32"/>
          <w:szCs w:val="32"/>
          <w:lang w:val="en-US" w:eastAsia="zh-CN"/>
        </w:rPr>
        <w:t>十一、</w:t>
      </w:r>
      <w:r>
        <w:rPr>
          <w:rFonts w:ascii="Times New Roman" w:hAnsi="Times New Roman" w:cs="Times New Roman"/>
          <w:bCs/>
          <w:sz w:val="32"/>
          <w:szCs w:val="32"/>
        </w:rPr>
        <w:t>一般性支出情况说明</w:t>
      </w:r>
    </w:p>
    <w:p>
      <w:pPr>
        <w:pStyle w:val="15"/>
        <w:overflowPunct w:val="0"/>
        <w:spacing w:line="600" w:lineRule="exact"/>
        <w:ind w:firstLine="640" w:firstLineChars="200"/>
        <w:jc w:val="both"/>
        <w:rPr>
          <w:rFonts w:hint="default" w:ascii="Times New Roman" w:hAnsi="Times New Roman" w:eastAsia="仿宋_GB2312" w:cs="Times New Roman"/>
          <w:bCs/>
          <w:sz w:val="32"/>
          <w:szCs w:val="32"/>
          <w:lang w:val="en-US" w:eastAsia="zh-CN"/>
        </w:rPr>
      </w:pPr>
      <w:r>
        <w:rPr>
          <w:rFonts w:hint="eastAsia" w:ascii="Times New Roman" w:hAnsi="Times New Roman" w:eastAsia="仿宋_GB2312" w:cs="Times New Roman"/>
          <w:sz w:val="32"/>
          <w:szCs w:val="32"/>
        </w:rPr>
        <w:t>本部门 202</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 xml:space="preserve"> 年度经费支出 </w:t>
      </w:r>
      <w:r>
        <w:rPr>
          <w:rFonts w:hint="eastAsia" w:ascii="Times New Roman" w:hAnsi="Times New Roman" w:eastAsia="仿宋_GB2312" w:cs="Times New Roman"/>
          <w:sz w:val="32"/>
          <w:szCs w:val="32"/>
          <w:lang w:val="en-US" w:eastAsia="zh-CN"/>
        </w:rPr>
        <w:t>7.99</w:t>
      </w:r>
      <w:r>
        <w:rPr>
          <w:rFonts w:hint="eastAsia" w:ascii="Times New Roman" w:hAnsi="Times New Roman" w:eastAsia="仿宋_GB2312" w:cs="Times New Roman"/>
          <w:sz w:val="32"/>
          <w:szCs w:val="32"/>
        </w:rPr>
        <w:t>万元，比上年决算数</w:t>
      </w:r>
      <w:r>
        <w:rPr>
          <w:rFonts w:hint="eastAsia" w:ascii="Times New Roman" w:hAnsi="Times New Roman" w:eastAsia="仿宋_GB2312" w:cs="Times New Roman"/>
          <w:sz w:val="32"/>
          <w:szCs w:val="32"/>
          <w:lang w:val="en-US" w:eastAsia="zh-CN"/>
        </w:rPr>
        <w:t>增加1.12</w:t>
      </w:r>
      <w:r>
        <w:rPr>
          <w:rFonts w:hint="eastAsia" w:ascii="Times New Roman" w:hAnsi="Times New Roman" w:eastAsia="仿宋_GB2312" w:cs="Times New Roman"/>
          <w:sz w:val="32"/>
          <w:szCs w:val="32"/>
        </w:rPr>
        <w:t>万元，</w:t>
      </w:r>
      <w:r>
        <w:rPr>
          <w:rFonts w:hint="eastAsia" w:ascii="Times New Roman" w:hAnsi="Times New Roman" w:eastAsia="仿宋_GB2312" w:cs="Times New Roman"/>
          <w:sz w:val="32"/>
          <w:szCs w:val="32"/>
          <w:lang w:val="en-US" w:eastAsia="zh-CN"/>
        </w:rPr>
        <w:t>增加</w:t>
      </w:r>
      <w:r>
        <w:rPr>
          <w:rFonts w:hint="eastAsia"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val="en-US" w:eastAsia="zh-CN"/>
        </w:rPr>
        <w:t>16.3</w:t>
      </w:r>
      <w:r>
        <w:rPr>
          <w:rFonts w:hint="eastAsia" w:ascii="Times New Roman" w:hAnsi="Times New Roman" w:eastAsia="仿宋_GB2312" w:cs="Times New Roman"/>
          <w:sz w:val="32"/>
          <w:szCs w:val="32"/>
        </w:rPr>
        <w:t>%。主要原因是：</w:t>
      </w:r>
      <w:r>
        <w:rPr>
          <w:rFonts w:hint="eastAsia" w:ascii="Times New Roman" w:hAnsi="Times New Roman" w:eastAsia="仿宋_GB2312" w:cs="Times New Roman"/>
          <w:sz w:val="32"/>
          <w:szCs w:val="32"/>
          <w:lang w:val="en-US" w:eastAsia="zh-CN"/>
        </w:rPr>
        <w:t>因本年度案件增加，经费相应增加。</w:t>
      </w:r>
    </w:p>
    <w:p>
      <w:pPr>
        <w:pStyle w:val="15"/>
        <w:overflowPunct w:val="0"/>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w:t>
      </w:r>
      <w:r>
        <w:rPr>
          <w:rFonts w:hint="eastAsia" w:ascii="Times New Roman" w:hAnsi="Times New Roman" w:cs="Times New Roman"/>
          <w:bCs/>
          <w:sz w:val="32"/>
          <w:szCs w:val="32"/>
          <w:lang w:val="en-US" w:eastAsia="zh-CN"/>
        </w:rPr>
        <w:t>二</w:t>
      </w:r>
      <w:r>
        <w:rPr>
          <w:rFonts w:ascii="Times New Roman" w:hAnsi="Times New Roman" w:cs="Times New Roman"/>
          <w:bCs/>
          <w:sz w:val="32"/>
          <w:szCs w:val="32"/>
        </w:rPr>
        <w:t>、关于政府采购支出说明</w:t>
      </w:r>
    </w:p>
    <w:p>
      <w:pPr>
        <w:pStyle w:val="15"/>
        <w:overflowPunct w:val="0"/>
        <w:spacing w:line="60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本部门 2024 年度政府采购支出总额13.35 万元。其中：政府采购货物支出 10.08 万元、占政府采购支出总额的</w:t>
      </w:r>
      <w:r>
        <w:rPr>
          <w:rFonts w:hint="eastAsia" w:ascii="Times New Roman" w:hAnsi="Times New Roman" w:eastAsia="仿宋_GB2312" w:cs="Times New Roman"/>
          <w:sz w:val="32"/>
          <w:szCs w:val="32"/>
          <w:lang w:val="en-US" w:eastAsia="zh-CN"/>
        </w:rPr>
        <w:t>75.51%；</w:t>
      </w:r>
      <w:r>
        <w:rPr>
          <w:rFonts w:hint="eastAsia" w:ascii="Times New Roman" w:hAnsi="Times New Roman" w:eastAsia="仿宋_GB2312" w:cs="Times New Roman"/>
          <w:sz w:val="32"/>
          <w:szCs w:val="32"/>
        </w:rPr>
        <w:t xml:space="preserve">政府采购工程支出 0.00 万元、政府采购服务支出3.27万元。授予中小企业合同金额13.35 万元，占政府采购支出总额的 </w:t>
      </w:r>
      <w:r>
        <w:rPr>
          <w:rFonts w:hint="eastAsia" w:ascii="Times New Roman" w:hAnsi="Times New Roman" w:eastAsia="仿宋_GB2312" w:cs="Times New Roman"/>
          <w:sz w:val="32"/>
          <w:szCs w:val="32"/>
          <w:lang w:val="en-US" w:eastAsia="zh-CN"/>
        </w:rPr>
        <w:t>24.49</w:t>
      </w:r>
      <w:r>
        <w:rPr>
          <w:rFonts w:hint="eastAsia" w:ascii="Times New Roman" w:hAnsi="Times New Roman" w:eastAsia="仿宋_GB2312" w:cs="Times New Roman"/>
          <w:sz w:val="32"/>
          <w:szCs w:val="32"/>
        </w:rPr>
        <w:t>%，其中：授予小微企业合同金额13.35 万元，占授予中小企业合同金额的100%，货物采购授予中小企业合同金额占货物支出金额的</w:t>
      </w:r>
      <w:r>
        <w:rPr>
          <w:rFonts w:hint="eastAsia" w:ascii="Times New Roman" w:hAnsi="Times New Roman" w:eastAsia="仿宋_GB2312" w:cs="Times New Roman"/>
          <w:sz w:val="32"/>
          <w:szCs w:val="32"/>
          <w:lang w:val="en-US" w:eastAsia="zh-CN"/>
        </w:rPr>
        <w:t>100</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由于工程支出金额为0.00万元</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无法进行工程采购授予中小企业合同金额占工程支出金额的百分比测算，</w:t>
      </w:r>
      <w:r>
        <w:rPr>
          <w:rFonts w:hint="eastAsia" w:ascii="Times New Roman" w:hAnsi="Times New Roman" w:eastAsia="仿宋_GB2312" w:cs="Times New Roman"/>
          <w:sz w:val="32"/>
          <w:szCs w:val="32"/>
        </w:rPr>
        <w:t>服务采购授予中小企业合同金额占服务支出金额的</w:t>
      </w:r>
      <w:r>
        <w:rPr>
          <w:rFonts w:hint="eastAsia" w:ascii="Times New Roman" w:hAnsi="Times New Roman" w:eastAsia="仿宋_GB2312" w:cs="Times New Roman"/>
          <w:sz w:val="32"/>
          <w:szCs w:val="32"/>
          <w:lang w:val="en-US" w:eastAsia="zh-CN"/>
        </w:rPr>
        <w:t>100</w:t>
      </w:r>
      <w:r>
        <w:rPr>
          <w:rFonts w:hint="eastAsia" w:ascii="Times New Roman" w:hAnsi="Times New Roman" w:eastAsia="仿宋_GB2312" w:cs="Times New Roman"/>
          <w:sz w:val="32"/>
          <w:szCs w:val="32"/>
        </w:rPr>
        <w:t>%。</w:t>
      </w:r>
    </w:p>
    <w:p>
      <w:pPr>
        <w:pStyle w:val="15"/>
        <w:overflowPunct w:val="0"/>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w:t>
      </w:r>
      <w:r>
        <w:rPr>
          <w:rFonts w:hint="eastAsia" w:ascii="Times New Roman" w:hAnsi="Times New Roman" w:cs="Times New Roman"/>
          <w:bCs/>
          <w:color w:val="auto"/>
          <w:sz w:val="32"/>
          <w:szCs w:val="32"/>
          <w:lang w:val="en-US" w:eastAsia="zh-CN"/>
        </w:rPr>
        <w:t>三</w:t>
      </w:r>
      <w:r>
        <w:rPr>
          <w:rFonts w:ascii="Times New Roman" w:hAnsi="Times New Roman" w:cs="Times New Roman"/>
          <w:bCs/>
          <w:color w:val="auto"/>
          <w:sz w:val="32"/>
          <w:szCs w:val="32"/>
        </w:rPr>
        <w:t>、关于国有资产占用情况说明</w:t>
      </w:r>
    </w:p>
    <w:p>
      <w:pPr>
        <w:pStyle w:val="15"/>
        <w:overflowPunct w:val="0"/>
        <w:spacing w:line="600" w:lineRule="exact"/>
        <w:ind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截至2024年12月31日，部共有车辆</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辆，其中，副部（省）级及以上领导用车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辆、机要通信用车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辆、应急保障用车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辆、执法执勤用车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辆、其他用车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辆；单位价值100万元以上设备（不含车辆）</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台。</w:t>
      </w:r>
    </w:p>
    <w:p>
      <w:pPr>
        <w:pStyle w:val="15"/>
        <w:overflowPunct w:val="0"/>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w:t>
      </w:r>
      <w:r>
        <w:rPr>
          <w:rFonts w:hint="eastAsia" w:ascii="Times New Roman" w:hAnsi="Times New Roman" w:cs="Times New Roman"/>
          <w:bCs/>
          <w:color w:val="auto"/>
          <w:sz w:val="32"/>
          <w:szCs w:val="32"/>
          <w:lang w:val="en-US" w:eastAsia="zh-CN"/>
        </w:rPr>
        <w:t>四</w:t>
      </w:r>
      <w:r>
        <w:rPr>
          <w:rFonts w:ascii="Times New Roman" w:hAnsi="Times New Roman" w:cs="Times New Roman"/>
          <w:bCs/>
          <w:color w:val="auto"/>
          <w:sz w:val="32"/>
          <w:szCs w:val="32"/>
        </w:rPr>
        <w:t>、关于</w:t>
      </w:r>
      <w:r>
        <w:rPr>
          <w:rFonts w:ascii="Times New Roman" w:hAnsi="Times New Roman" w:eastAsia="仿宋_GB2312" w:cs="Times New Roman"/>
          <w:color w:val="auto"/>
          <w:sz w:val="32"/>
          <w:szCs w:val="32"/>
        </w:rPr>
        <w:t>2024</w:t>
      </w:r>
      <w:r>
        <w:rPr>
          <w:rFonts w:ascii="Times New Roman" w:hAnsi="Times New Roman" w:cs="Times New Roman"/>
          <w:bCs/>
          <w:color w:val="auto"/>
          <w:sz w:val="32"/>
          <w:szCs w:val="32"/>
        </w:rPr>
        <w:t>年度预算绩效情况的说明</w:t>
      </w:r>
    </w:p>
    <w:p>
      <w:pPr>
        <w:overflowPunct w:val="0"/>
        <w:spacing w:line="600" w:lineRule="exact"/>
        <w:ind w:firstLine="640" w:firstLineChars="200"/>
        <w:rPr>
          <w:rFonts w:ascii="Times New Roman" w:hAnsi="Times New Roman" w:eastAsia="仿宋_GB2312" w:cs="Times New Roman"/>
          <w:kern w:val="0"/>
          <w:sz w:val="32"/>
          <w:szCs w:val="32"/>
        </w:rPr>
      </w:pPr>
      <w:r>
        <w:rPr>
          <w:rFonts w:ascii="Times New Roman" w:hAnsi="Times New Roman" w:eastAsia="楷体_GB2312" w:cs="Times New Roman"/>
          <w:b/>
          <w:bCs/>
          <w:sz w:val="32"/>
          <w:szCs w:val="32"/>
        </w:rPr>
        <w:t>（一）绩效评价工作开展情况。</w:t>
      </w:r>
      <w:r>
        <w:rPr>
          <w:rFonts w:ascii="Times New Roman" w:hAnsi="Times New Roman" w:eastAsia="仿宋_GB2312" w:cs="Times New Roman"/>
          <w:b/>
          <w:bCs/>
          <w:kern w:val="0"/>
          <w:sz w:val="32"/>
          <w:szCs w:val="32"/>
        </w:rPr>
        <w:t>一是绩效自评开展情况。</w:t>
      </w:r>
      <w:r>
        <w:rPr>
          <w:rFonts w:ascii="Times New Roman" w:hAnsi="Times New Roman" w:eastAsia="仿宋_GB2312" w:cs="Times New Roman"/>
          <w:kern w:val="0"/>
          <w:sz w:val="32"/>
          <w:szCs w:val="32"/>
        </w:rPr>
        <w:t>组织对2024年度本单位整体支出开展绩效自评，涉及项目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 xml:space="preserve"> 个，共涉及资金</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万元。其中，一般公共预算项目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 xml:space="preserve"> 万元，占一般公共预算支出总额的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%；政府性基金预算项目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 xml:space="preserve"> 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万元，占政府性基金预算支出总额的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%；国有资本经营预算项目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 xml:space="preserve"> 万元，占国有资本经营预算支出总额的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%；社会保险基金预算项目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 xml:space="preserve"> 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 xml:space="preserve"> 万元，占社会保险基金预算支出总额的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w:t>
      </w:r>
      <w:r>
        <w:rPr>
          <w:rFonts w:ascii="Times New Roman" w:hAnsi="Times New Roman" w:eastAsia="仿宋_GB2312" w:cs="Times New Roman"/>
          <w:b/>
          <w:bCs/>
          <w:kern w:val="0"/>
          <w:sz w:val="32"/>
          <w:szCs w:val="32"/>
        </w:rPr>
        <w:t>二是部门评价开展情况。</w:t>
      </w:r>
      <w:r>
        <w:rPr>
          <w:rFonts w:ascii="Times New Roman" w:hAnsi="Times New Roman" w:eastAsia="仿宋_GB2312" w:cs="Times New Roman"/>
          <w:kern w:val="0"/>
          <w:sz w:val="32"/>
          <w:szCs w:val="32"/>
        </w:rPr>
        <w:t>对</w:t>
      </w:r>
      <w:r>
        <w:rPr>
          <w:rFonts w:hint="eastAsia" w:ascii="Times New Roman" w:hAnsi="Times New Roman" w:eastAsia="仿宋_GB2312" w:cs="Times New Roman"/>
          <w:kern w:val="0"/>
          <w:sz w:val="32"/>
          <w:szCs w:val="32"/>
          <w:lang w:val="en-US" w:eastAsia="zh-CN"/>
        </w:rPr>
        <w:t>本</w:t>
      </w:r>
      <w:r>
        <w:rPr>
          <w:rFonts w:ascii="Times New Roman" w:hAnsi="Times New Roman" w:eastAsia="仿宋_GB2312" w:cs="Times New Roman"/>
          <w:kern w:val="0"/>
          <w:sz w:val="32"/>
          <w:szCs w:val="32"/>
        </w:rPr>
        <w:t>单位2024年度开展了部门评价，涉及一般公共预算支出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万元，政府性基金预算支出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万元，国有资本经营预算支出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万元，社会保险基金预算支出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万元。</w:t>
      </w:r>
      <w:r>
        <w:rPr>
          <w:rFonts w:ascii="Times New Roman" w:hAnsi="Times New Roman" w:eastAsia="仿宋_GB2312" w:cs="Times New Roman"/>
          <w:b/>
          <w:bCs/>
          <w:kern w:val="0"/>
          <w:sz w:val="32"/>
          <w:szCs w:val="32"/>
        </w:rPr>
        <w:t>三是事前绩效评估开展情况。</w:t>
      </w:r>
      <w:r>
        <w:rPr>
          <w:rFonts w:ascii="Times New Roman" w:hAnsi="Times New Roman" w:eastAsia="仿宋_GB2312" w:cs="Times New Roman"/>
          <w:kern w:val="0"/>
          <w:sz w:val="32"/>
          <w:szCs w:val="32"/>
        </w:rPr>
        <w:t>组织对2024年度</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个新增重大政策和</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个重大项目开展事前绩效评估，共涉及资金</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万元。</w:t>
      </w:r>
    </w:p>
    <w:p>
      <w:pPr>
        <w:overflowPunct w:val="0"/>
        <w:spacing w:line="600" w:lineRule="exact"/>
        <w:ind w:firstLine="640" w:firstLineChars="200"/>
        <w:rPr>
          <w:rFonts w:hint="eastAsia" w:ascii="Times New Roman" w:hAnsi="Times New Roman" w:eastAsia="仿宋_GB2312" w:cs="Times New Roman"/>
          <w:sz w:val="32"/>
          <w:szCs w:val="32"/>
          <w:lang w:val="en-US" w:eastAsia="zh-CN"/>
        </w:rPr>
      </w:pPr>
      <w:r>
        <w:rPr>
          <w:rFonts w:ascii="Times New Roman" w:hAnsi="Times New Roman" w:eastAsia="楷体_GB2312" w:cs="Times New Roman"/>
          <w:b/>
          <w:bCs/>
          <w:sz w:val="32"/>
          <w:szCs w:val="32"/>
        </w:rPr>
        <w:t>（二）绩效评价结果。</w:t>
      </w:r>
      <w:r>
        <w:rPr>
          <w:rFonts w:ascii="Times New Roman" w:hAnsi="Times New Roman" w:eastAsia="仿宋_GB2312" w:cs="Times New Roman"/>
          <w:b/>
          <w:bCs/>
          <w:kern w:val="0"/>
          <w:sz w:val="32"/>
          <w:szCs w:val="32"/>
        </w:rPr>
        <w:t>一是绩效自评结果。</w:t>
      </w:r>
      <w:r>
        <w:rPr>
          <w:rFonts w:ascii="Times New Roman" w:hAnsi="Times New Roman" w:eastAsia="仿宋_GB2312" w:cs="Times New Roman"/>
          <w:kern w:val="0"/>
          <w:sz w:val="32"/>
          <w:szCs w:val="32"/>
        </w:rPr>
        <w:t>2024年度本单位整体支出</w:t>
      </w:r>
      <w:r>
        <w:rPr>
          <w:rFonts w:ascii="Times New Roman" w:hAnsi="Times New Roman" w:eastAsia="仿宋_GB2312" w:cs="Times New Roman"/>
          <w:sz w:val="32"/>
          <w:szCs w:val="32"/>
        </w:rPr>
        <w:t>全年预算数</w:t>
      </w:r>
      <w:r>
        <w:rPr>
          <w:rFonts w:hint="eastAsia" w:ascii="Times New Roman" w:hAnsi="Times New Roman" w:eastAsia="仿宋_GB2312" w:cs="Times New Roman"/>
          <w:sz w:val="32"/>
          <w:szCs w:val="32"/>
          <w:lang w:val="en-US" w:eastAsia="zh-CN"/>
        </w:rPr>
        <w:t>98.52</w:t>
      </w:r>
      <w:r>
        <w:rPr>
          <w:rFonts w:ascii="Times New Roman" w:hAnsi="Times New Roman" w:eastAsia="仿宋_GB2312" w:cs="Times New Roman"/>
          <w:sz w:val="32"/>
          <w:szCs w:val="32"/>
        </w:rPr>
        <w:t>万元，执行数</w:t>
      </w:r>
      <w:r>
        <w:rPr>
          <w:rFonts w:hint="eastAsia" w:ascii="Times New Roman" w:hAnsi="Times New Roman" w:eastAsia="仿宋_GB2312" w:cs="Times New Roman"/>
          <w:sz w:val="32"/>
          <w:szCs w:val="32"/>
          <w:lang w:val="en-US" w:eastAsia="zh-CN"/>
        </w:rPr>
        <w:t>98.14</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99.61</w:t>
      </w:r>
      <w:r>
        <w:rPr>
          <w:rFonts w:ascii="Times New Roman" w:hAnsi="Times New Roman" w:eastAsia="仿宋_GB2312" w:cs="Times New Roman"/>
          <w:sz w:val="32"/>
          <w:szCs w:val="32"/>
        </w:rPr>
        <w:t>%</w:t>
      </w:r>
      <w:r>
        <w:rPr>
          <w:rFonts w:ascii="Times New Roman" w:hAnsi="Times New Roman" w:eastAsia="仿宋_GB2312" w:cs="Times New Roman"/>
          <w:kern w:val="0"/>
          <w:sz w:val="32"/>
          <w:szCs w:val="32"/>
        </w:rPr>
        <w:t>，绩效自评得分</w:t>
      </w:r>
      <w:r>
        <w:rPr>
          <w:rFonts w:hint="eastAsia" w:ascii="Times New Roman" w:hAnsi="Times New Roman" w:eastAsia="仿宋_GB2312" w:cs="Times New Roman"/>
          <w:sz w:val="32"/>
          <w:szCs w:val="32"/>
          <w:lang w:val="en-US" w:eastAsia="zh-CN"/>
        </w:rPr>
        <w:t>94.9</w:t>
      </w:r>
      <w:r>
        <w:rPr>
          <w:rFonts w:ascii="Times New Roman" w:hAnsi="Times New Roman" w:eastAsia="仿宋_GB2312" w:cs="Times New Roman"/>
          <w:sz w:val="32"/>
          <w:szCs w:val="32"/>
        </w:rPr>
        <w:t>分</w:t>
      </w:r>
      <w:r>
        <w:rPr>
          <w:rFonts w:ascii="Times New Roman" w:hAnsi="Times New Roman" w:eastAsia="仿宋_GB2312" w:cs="Times New Roman"/>
          <w:kern w:val="0"/>
          <w:sz w:val="32"/>
          <w:szCs w:val="32"/>
        </w:rPr>
        <w:t>，评价等级为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优</w:t>
      </w:r>
      <w:r>
        <w:rPr>
          <w:rFonts w:ascii="Times New Roman" w:hAnsi="Times New Roman" w:eastAsia="仿宋_GB2312" w:cs="Times New Roman"/>
          <w:sz w:val="32"/>
          <w:szCs w:val="32"/>
        </w:rPr>
        <w:t>”。绩效目标完成情况：一是</w:t>
      </w:r>
      <w:r>
        <w:rPr>
          <w:rFonts w:hint="eastAsia" w:ascii="Times New Roman" w:hAnsi="Times New Roman" w:eastAsia="仿宋_GB2312" w:cs="Times New Roman"/>
          <w:sz w:val="32"/>
          <w:szCs w:val="32"/>
        </w:rPr>
        <w:t>调解仲裁工作持续加强。仲裁共立案处理各类劳动人事争议163起，结案155起，结案率95%，涉及金额1501万元，其中以调解结案95起，调解率达63%。裁决案件诉至法院的案件占裁决案件数的20%，法院维持裁决的占80%以上</w:t>
      </w:r>
      <w:r>
        <w:rPr>
          <w:rFonts w:ascii="Times New Roman" w:hAnsi="Times New Roman" w:eastAsia="仿宋_GB2312" w:cs="Times New Roman"/>
          <w:sz w:val="32"/>
          <w:szCs w:val="32"/>
        </w:rPr>
        <w:t>；二是</w:t>
      </w:r>
      <w:r>
        <w:rPr>
          <w:rFonts w:hint="eastAsia" w:ascii="Times New Roman" w:hAnsi="Times New Roman" w:eastAsia="仿宋_GB2312" w:cs="Times New Roman"/>
          <w:sz w:val="32"/>
          <w:szCs w:val="32"/>
        </w:rPr>
        <w:t>监察执法效能持续提升。主动检查用人单位406户，联合乡镇及建筑领域行业主管部门专项排查各类用人单位234户，在建工程项目52个，涉及劳动者1.4万余人；接听投诉热线及现场咨询860余起，12345及网信办交办件167起，国家欠薪平台交办线索456个，目前均已处理；受理现场投诉66起，协调处理58起，立案查办8起，向公安机关移送2起涉嫌拒不支付劳动报酬案件，向法院申请3起强制执行欠薪案件，共为402名劳动者追回工资及经济补偿金428余万元，全年没有出现一起因欠薪问题处置不当引发群体性、极端性事件。</w:t>
      </w:r>
      <w:r>
        <w:rPr>
          <w:rFonts w:ascii="Times New Roman" w:hAnsi="Times New Roman" w:eastAsia="仿宋_GB2312" w:cs="Times New Roman"/>
          <w:sz w:val="32"/>
          <w:szCs w:val="32"/>
        </w:rPr>
        <w:t>发现的主要问题及原因：</w:t>
      </w:r>
      <w:r>
        <w:rPr>
          <w:rFonts w:hint="eastAsia" w:ascii="Times New Roman" w:hAnsi="Times New Roman" w:eastAsia="仿宋_GB2312" w:cs="Times New Roman"/>
          <w:color w:val="auto"/>
          <w:kern w:val="2"/>
          <w:sz w:val="32"/>
          <w:szCs w:val="32"/>
          <w:lang w:val="en-US" w:eastAsia="zh-CN" w:bidi="ar-SA"/>
        </w:rPr>
        <w:t>存在问题是预算绩效相关业务水平有待加强。原因是需要进一步加强项目管理和资金管理，加快项目实施进度，合理使用项目资金，进一步保障资金安全。下一步改进措施：不断学习业务，提高工作水平，更好的完成绩效编报。</w:t>
      </w:r>
      <w:r>
        <w:rPr>
          <w:rFonts w:hint="eastAsia" w:ascii="Times New Roman" w:hAnsi="Times New Roman" w:eastAsia="仿宋_GB2312" w:cs="Times New Roman"/>
          <w:sz w:val="32"/>
          <w:szCs w:val="32"/>
          <w:lang w:val="en-US" w:eastAsia="zh-CN"/>
        </w:rPr>
        <w:t xml:space="preserve">  </w:t>
      </w:r>
    </w:p>
    <w:p>
      <w:pPr>
        <w:pStyle w:val="15"/>
        <w:ind w:firstLine="320" w:firstLineChars="100"/>
        <w:jc w:val="left"/>
        <w:rPr>
          <w:rFonts w:hint="default" w:ascii="Times New Roman" w:hAnsi="Times New Roman" w:eastAsia="仿宋_GB2312" w:cs="Times New Roman"/>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（三）评价结果应用情况。</w:t>
      </w:r>
      <w:r>
        <w:rPr>
          <w:rFonts w:hint="eastAsia" w:ascii="Times New Roman" w:hAnsi="Times New Roman" w:eastAsia="仿宋_GB2312" w:cs="Times New Roman"/>
          <w:color w:val="auto"/>
          <w:kern w:val="2"/>
          <w:sz w:val="32"/>
          <w:szCs w:val="32"/>
          <w:lang w:val="en-US" w:eastAsia="zh-CN" w:bidi="ar-SA"/>
        </w:rPr>
        <w:t>本单位预算绩效管理开展情况、绩效目标和绩效评价报告等见附件。</w:t>
      </w:r>
    </w:p>
    <w:p>
      <w:pPr>
        <w:pStyle w:val="15"/>
        <w:jc w:val="center"/>
        <w:rPr>
          <w:rFonts w:ascii="Times New Roman" w:hAnsi="Times New Roman" w:eastAsia="仿宋_GB2312" w:cs="Times New Roman"/>
          <w:color w:val="auto"/>
          <w:kern w:val="2"/>
          <w:sz w:val="32"/>
          <w:szCs w:val="32"/>
          <w:lang w:val="en-US" w:eastAsia="zh-CN" w:bidi="ar-SA"/>
        </w:rPr>
      </w:pPr>
    </w:p>
    <w:p>
      <w:pPr>
        <w:pStyle w:val="15"/>
        <w:jc w:val="both"/>
        <w:rPr>
          <w:rFonts w:ascii="Times New Roman" w:hAnsi="Times New Roman" w:cs="Times New Roman"/>
          <w:sz w:val="72"/>
          <w:szCs w:val="72"/>
        </w:rPr>
      </w:pPr>
    </w:p>
    <w:p>
      <w:pPr>
        <w:pStyle w:val="15"/>
        <w:jc w:val="both"/>
        <w:rPr>
          <w:rFonts w:ascii="Times New Roman" w:hAnsi="Times New Roman" w:cs="Times New Roman"/>
          <w:sz w:val="72"/>
          <w:szCs w:val="72"/>
        </w:rPr>
      </w:pPr>
    </w:p>
    <w:p>
      <w:pPr>
        <w:pStyle w:val="15"/>
        <w:jc w:val="both"/>
        <w:rPr>
          <w:rFonts w:ascii="Times New Roman" w:hAnsi="Times New Roman" w:cs="Times New Roman"/>
          <w:sz w:val="72"/>
          <w:szCs w:val="72"/>
        </w:rPr>
      </w:pPr>
    </w:p>
    <w:p>
      <w:pPr>
        <w:pStyle w:val="15"/>
        <w:numPr>
          <w:ilvl w:val="0"/>
          <w:numId w:val="5"/>
        </w:numPr>
        <w:spacing w:line="24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 xml:space="preserve">   名词解释</w:t>
      </w:r>
    </w:p>
    <w:p>
      <w:pPr>
        <w:pStyle w:val="15"/>
        <w:keepNext w:val="0"/>
        <w:keepLines w:val="0"/>
        <w:pageBreakBefore w:val="0"/>
        <w:widowControl w:val="0"/>
        <w:numPr>
          <w:ilvl w:val="0"/>
          <w:numId w:val="6"/>
        </w:numPr>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财政拨款收入：指单位本年度从同级财政部门取得的各类财政拨款。</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2.上级补助收入：指事业单位从主管部门和上级单位取得的非财政补助收入。</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3．机关运行经费：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4．“三公”经费：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5．对附属单位补助支出：指事业单位用财政拨款收入之外的收入对附属单位补助发生的支出。</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6．事业收入：指事业单位开展专业业务活动及其辅助活动取得的收入，事业单位收到的财政专户实际核拨的教育收费等资金在此反映。</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7．经营收入：指事业单位在专业业务活动及其辅助活动之外开展非独立核算经营活动取得的收入。</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8．附属单位上缴收入：指事业单位附属独立核算单位按照有关规定上缴的收入。</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9．其他收入：指单位取得的除上述“财政拨款收入”、“事业收入”、“经营收入”等以外的各项收入。</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10．使用非财政拨款结余：指事业单位使用非财政拨款结余（原事业基金）弥补当年收支差额的数额。</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11．年初结转和结余：指单位上年结转本年使用的基本支出结转、项目支出结转和结余和经营结余。</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12．结余分配：指事业单位按规定对非财政拨款结余资金提取的专用基金、缴纳的所得税和转入非财政拨款结余等。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13．年末结转和结余资金：指本年度或以前年度预算安排、因客观条件发生变化无法按原计划实施，需要延迟到以后年度按有关规定继续使用的资金。</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14．基本支出：指为保障机构正常运转、完成日常工作任务而发生的支出，包括人员经费和公用经费。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15．项目支出：指在为完成特定的工作任务和事业发展目标所发生的支出。</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16．上缴上级支出：指事业单位按照财政部门和主管部门的规定上缴上级单位的支出。</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17．经营支出：指事业单位在专业业务活动及其辅助活动之外开展非独立核算经营活动发生的支出。</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18．社会保障和就业支出（类）人力资源和社会保障管理事务（款）社会保险经办机构（项）：反映社会保险经办机构开展业务工作的支出。</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19．社会保障和就业支出（类）行政事业单位养老支出（款）</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机关事业单位基本养老保险缴费支出（项）：反映机关事业单位实施养老保险制度由单位缴纳的基本养老保险费支出。</w:t>
      </w:r>
    </w:p>
    <w:p>
      <w:pPr>
        <w:pStyle w:val="15"/>
        <w:keepNext w:val="0"/>
        <w:keepLines w:val="0"/>
        <w:pageBreakBefore w:val="0"/>
        <w:widowControl w:val="0"/>
        <w:numPr>
          <w:ilvl w:val="0"/>
          <w:numId w:val="7"/>
        </w:numPr>
        <w:kinsoku/>
        <w:wordWrap/>
        <w:overflowPunct/>
        <w:topLinePunct w:val="0"/>
        <w:autoSpaceDE w:val="0"/>
        <w:autoSpaceDN w:val="0"/>
        <w:bidi w:val="0"/>
        <w:adjustRightInd w:val="0"/>
        <w:snapToGrid/>
        <w:spacing w:line="360" w:lineRule="auto"/>
        <w:ind w:firstLine="640" w:firstLineChars="200"/>
        <w:jc w:val="left"/>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卫生健康支出（类）行政事业单位医疗（款）事业单位医疗（项）：反映财政部门安排的事业单位基本医疗保险缴费经费，未参加医疗保险的事业单位的公费医疗经费，按国家规定享受离休人员待遇的医疗经费。</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640" w:firstLineChars="200"/>
        <w:jc w:val="left"/>
        <w:textAlignment w:val="auto"/>
        <w:rPr>
          <w:rFonts w:ascii="Times New Roman" w:hAnsi="Times New Roman" w:eastAsia="方正小标宋_GBK" w:cs="Times New Roman"/>
          <w:sz w:val="52"/>
          <w:szCs w:val="52"/>
        </w:rPr>
      </w:pPr>
      <w:r>
        <w:rPr>
          <w:rFonts w:hint="eastAsia" w:ascii="Times New Roman" w:hAnsi="Times New Roman" w:eastAsia="仿宋_GB2312" w:cs="Times New Roman"/>
          <w:color w:val="000000"/>
          <w:kern w:val="0"/>
          <w:sz w:val="32"/>
          <w:szCs w:val="32"/>
        </w:rPr>
        <w:t>21．住房保障支出（类）住房改革支出（款）住房公积金（项）：反映行政事业单位按人力资源和社会保障部、财政部规定的基本工资和津贴补贴以及规定比例为职工缴纳的住房公积金。</w:t>
      </w:r>
    </w:p>
    <w:p>
      <w:pPr>
        <w:pStyle w:val="15"/>
        <w:spacing w:line="360" w:lineRule="auto"/>
        <w:jc w:val="center"/>
        <w:rPr>
          <w:rFonts w:ascii="Times New Roman" w:hAnsi="Times New Roman" w:eastAsia="方正小标宋_GBK" w:cs="Times New Roman"/>
          <w:sz w:val="52"/>
          <w:szCs w:val="52"/>
        </w:rPr>
      </w:pPr>
    </w:p>
    <w:p>
      <w:pPr>
        <w:pStyle w:val="15"/>
        <w:spacing w:line="360" w:lineRule="auto"/>
        <w:jc w:val="center"/>
        <w:rPr>
          <w:rFonts w:ascii="Times New Roman" w:hAnsi="Times New Roman" w:eastAsia="方正小标宋_GBK" w:cs="Times New Roman"/>
          <w:sz w:val="52"/>
          <w:szCs w:val="52"/>
        </w:rPr>
      </w:pPr>
    </w:p>
    <w:p>
      <w:pPr>
        <w:pStyle w:val="15"/>
        <w:spacing w:line="360" w:lineRule="auto"/>
        <w:jc w:val="center"/>
        <w:rPr>
          <w:rFonts w:ascii="Times New Roman" w:hAnsi="Times New Roman" w:eastAsia="方正小标宋_GBK" w:cs="Times New Roman"/>
          <w:sz w:val="52"/>
          <w:szCs w:val="52"/>
        </w:rPr>
      </w:pPr>
    </w:p>
    <w:p>
      <w:pPr>
        <w:pStyle w:val="15"/>
        <w:spacing w:line="360" w:lineRule="auto"/>
        <w:jc w:val="both"/>
        <w:rPr>
          <w:rFonts w:ascii="Times New Roman" w:hAnsi="Times New Roman" w:eastAsia="方正小标宋_GBK" w:cs="Times New Roman"/>
          <w:sz w:val="52"/>
          <w:szCs w:val="52"/>
        </w:rPr>
      </w:pPr>
    </w:p>
    <w:p>
      <w:pPr>
        <w:pStyle w:val="15"/>
        <w:spacing w:line="360" w:lineRule="auto"/>
        <w:jc w:val="center"/>
        <w:rPr>
          <w:rFonts w:ascii="Times New Roman" w:hAnsi="Times New Roman" w:eastAsia="方正小标宋_GBK" w:cs="Times New Roman"/>
          <w:sz w:val="52"/>
          <w:szCs w:val="52"/>
        </w:rPr>
      </w:pPr>
    </w:p>
    <w:p>
      <w:pPr>
        <w:pStyle w:val="15"/>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第五部分   附 件</w:t>
      </w:r>
    </w:p>
    <w:p>
      <w:pPr>
        <w:rPr>
          <w:rFonts w:ascii="Times New Roman" w:hAnsi="Times New Roman" w:cs="Times New Roman"/>
          <w:sz w:val="72"/>
          <w:szCs w:val="72"/>
        </w:rPr>
      </w:pPr>
    </w:p>
    <w:p>
      <w:pPr>
        <w:pStyle w:val="15"/>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一、</w:t>
      </w:r>
      <w:r>
        <w:rPr>
          <w:rFonts w:ascii="Times New Roman" w:hAnsi="Times New Roman" w:eastAsia="仿宋_GB2312" w:cs="Times New Roman"/>
          <w:sz w:val="32"/>
          <w:szCs w:val="32"/>
        </w:rPr>
        <w:t>2024年度单位整体支出绩效自评报告。</w:t>
      </w:r>
    </w:p>
    <w:p>
      <w:pPr>
        <w:pStyle w:val="15"/>
        <w:ind w:firstLine="1280" w:firstLineChars="400"/>
        <w:rPr>
          <w:rFonts w:ascii="Times New Roman" w:hAnsi="Times New Roman" w:eastAsia="仿宋_GB2312" w:cs="Times New Roman"/>
          <w:sz w:val="32"/>
          <w:szCs w:val="32"/>
        </w:rPr>
      </w:pPr>
    </w:p>
    <w:p>
      <w:pPr>
        <w:pStyle w:val="15"/>
        <w:spacing w:line="600" w:lineRule="exact"/>
        <w:ind w:firstLine="640" w:firstLineChars="200"/>
        <w:rPr>
          <w:rFonts w:ascii="Times New Roman" w:hAnsi="Times New Roman" w:eastAsia="仿宋_GB2312" w:cs="Times New Roman"/>
          <w:sz w:val="32"/>
          <w:szCs w:val="32"/>
        </w:rPr>
      </w:pPr>
    </w:p>
    <w:p>
      <w:pPr>
        <w:pStyle w:val="15"/>
        <w:jc w:val="center"/>
        <w:rPr>
          <w:rFonts w:ascii="Times New Roman" w:hAnsi="Times New Roman" w:cs="Times New Roman"/>
          <w:sz w:val="72"/>
          <w:szCs w:val="72"/>
        </w:rPr>
      </w:pPr>
    </w:p>
    <w:p>
      <w:pPr>
        <w:pStyle w:val="15"/>
        <w:jc w:val="center"/>
        <w:rPr>
          <w:rFonts w:ascii="Times New Roman" w:hAnsi="Times New Roman" w:cs="Times New Roman"/>
          <w:sz w:val="72"/>
          <w:szCs w:val="72"/>
        </w:rPr>
      </w:pPr>
    </w:p>
    <w:p>
      <w:pPr>
        <w:jc w:val="left"/>
        <w:rPr>
          <w:rFonts w:ascii="Times New Roman" w:hAnsi="Times New Roman" w:cs="Times New Roman"/>
          <w:color w:val="000000"/>
          <w:kern w:val="0"/>
          <w:sz w:val="32"/>
          <w:szCs w:val="32"/>
        </w:rPr>
      </w:pPr>
    </w:p>
    <w:sectPr>
      <w:pgSz w:w="11906" w:h="16838"/>
      <w:pgMar w:top="1417" w:right="1588" w:bottom="1417" w:left="158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ascii="Calibri" w:hAnsi="Calibri" w:eastAsia="宋体" w:cs="黑体"/>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rect id="文本框 5"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5UEnq8MBAACPAwAADgAAAAAAAAABACAAAAAfAQAAZHJzL2Uyb0RvYy54bWxQ&#10;SwUGAAAAAAYABgBZAQAAVAU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71CDB4"/>
    <w:multiLevelType w:val="singleLevel"/>
    <w:tmpl w:val="1971CDB4"/>
    <w:lvl w:ilvl="0" w:tentative="0">
      <w:start w:val="1"/>
      <w:numFmt w:val="decimal"/>
      <w:lvlText w:val="%1."/>
      <w:lvlJc w:val="left"/>
      <w:pPr>
        <w:tabs>
          <w:tab w:val="left" w:pos="312"/>
        </w:tabs>
      </w:pPr>
    </w:lvl>
  </w:abstractNum>
  <w:abstractNum w:abstractNumId="1">
    <w:nsid w:val="2DA87E69"/>
    <w:multiLevelType w:val="singleLevel"/>
    <w:tmpl w:val="2DA87E69"/>
    <w:lvl w:ilvl="0" w:tentative="0">
      <w:start w:val="1"/>
      <w:numFmt w:val="chineseCounting"/>
      <w:suff w:val="nothing"/>
      <w:lvlText w:val="%1、"/>
      <w:lvlJc w:val="left"/>
      <w:rPr>
        <w:rFonts w:hint="eastAsia"/>
      </w:rPr>
    </w:lvl>
  </w:abstractNum>
  <w:abstractNum w:abstractNumId="2">
    <w:nsid w:val="3D0C430F"/>
    <w:multiLevelType w:val="singleLevel"/>
    <w:tmpl w:val="3D0C430F"/>
    <w:lvl w:ilvl="0" w:tentative="0">
      <w:start w:val="6"/>
      <w:numFmt w:val="chineseCounting"/>
      <w:suff w:val="nothing"/>
      <w:lvlText w:val="%1、"/>
      <w:lvlJc w:val="left"/>
      <w:rPr>
        <w:rFonts w:hint="eastAsia"/>
      </w:rPr>
    </w:lvl>
  </w:abstractNum>
  <w:abstractNum w:abstractNumId="3">
    <w:nsid w:val="4B4430E3"/>
    <w:multiLevelType w:val="singleLevel"/>
    <w:tmpl w:val="4B4430E3"/>
    <w:lvl w:ilvl="0" w:tentative="0">
      <w:start w:val="20"/>
      <w:numFmt w:val="decimal"/>
      <w:lvlText w:val="%1."/>
      <w:lvlJc w:val="left"/>
      <w:pPr>
        <w:tabs>
          <w:tab w:val="left" w:pos="312"/>
        </w:tabs>
      </w:pPr>
    </w:lvl>
  </w:abstractNum>
  <w:abstractNum w:abstractNumId="4">
    <w:nsid w:val="4F575CBA"/>
    <w:multiLevelType w:val="singleLevel"/>
    <w:tmpl w:val="4F575CBA"/>
    <w:lvl w:ilvl="0" w:tentative="0">
      <w:start w:val="3"/>
      <w:numFmt w:val="decimal"/>
      <w:lvlText w:val="%1."/>
      <w:lvlJc w:val="left"/>
      <w:pPr>
        <w:tabs>
          <w:tab w:val="left" w:pos="312"/>
        </w:tabs>
      </w:pPr>
    </w:lvl>
  </w:abstractNum>
  <w:abstractNum w:abstractNumId="5">
    <w:nsid w:val="55F0A5B2"/>
    <w:multiLevelType w:val="singleLevel"/>
    <w:tmpl w:val="55F0A5B2"/>
    <w:lvl w:ilvl="0" w:tentative="0">
      <w:start w:val="10"/>
      <w:numFmt w:val="chineseCounting"/>
      <w:suff w:val="nothing"/>
      <w:lvlText w:val="%1、"/>
      <w:lvlJc w:val="left"/>
      <w:rPr>
        <w:rFonts w:hint="eastAsia"/>
      </w:rPr>
    </w:lvl>
  </w:abstractNum>
  <w:abstractNum w:abstractNumId="6">
    <w:nsid w:val="6BAE1EC6"/>
    <w:multiLevelType w:val="singleLevel"/>
    <w:tmpl w:val="6BAE1EC6"/>
    <w:lvl w:ilvl="0" w:tentative="0">
      <w:start w:val="4"/>
      <w:numFmt w:val="chineseCounting"/>
      <w:suff w:val="space"/>
      <w:lvlText w:val="第%1部分"/>
      <w:lvlJc w:val="left"/>
      <w:rPr>
        <w:rFonts w:hint="eastAsia"/>
      </w:rPr>
    </w:lvl>
  </w:abstractNum>
  <w:num w:numId="1">
    <w:abstractNumId w:val="1"/>
  </w:num>
  <w:num w:numId="2">
    <w:abstractNumId w:val="2"/>
  </w:num>
  <w:num w:numId="3">
    <w:abstractNumId w:val="4"/>
  </w:num>
  <w:num w:numId="4">
    <w:abstractNumId w:val="5"/>
  </w:num>
  <w:num w:numId="5">
    <w:abstractNumId w:val="6"/>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yYzU0YmM5NjQ5MmU4Zjg2MGY5ZDgzYzgxYTFlMGEifQ=="/>
  </w:docVars>
  <w:rsids>
    <w:rsidRoot w:val="00172A27"/>
    <w:rsid w:val="03874A0F"/>
    <w:rsid w:val="038D51FF"/>
    <w:rsid w:val="038F7CD0"/>
    <w:rsid w:val="039C5921"/>
    <w:rsid w:val="040C4055"/>
    <w:rsid w:val="04D01847"/>
    <w:rsid w:val="0988715E"/>
    <w:rsid w:val="09E87633"/>
    <w:rsid w:val="0A370BF7"/>
    <w:rsid w:val="0B422E66"/>
    <w:rsid w:val="0B816559"/>
    <w:rsid w:val="0C232FE8"/>
    <w:rsid w:val="0CA15C6F"/>
    <w:rsid w:val="0E3270CE"/>
    <w:rsid w:val="124D5453"/>
    <w:rsid w:val="12EF015C"/>
    <w:rsid w:val="14DC7D94"/>
    <w:rsid w:val="15E2587E"/>
    <w:rsid w:val="161C2B3E"/>
    <w:rsid w:val="173B6FF4"/>
    <w:rsid w:val="178C3AAB"/>
    <w:rsid w:val="1CDA5DA4"/>
    <w:rsid w:val="1EE15CDB"/>
    <w:rsid w:val="1F153F22"/>
    <w:rsid w:val="201D149D"/>
    <w:rsid w:val="203E32D7"/>
    <w:rsid w:val="21B53E47"/>
    <w:rsid w:val="238D507B"/>
    <w:rsid w:val="24B11017"/>
    <w:rsid w:val="25010E9E"/>
    <w:rsid w:val="2A0911D4"/>
    <w:rsid w:val="2A2E4796"/>
    <w:rsid w:val="2B563FA5"/>
    <w:rsid w:val="2D634AE9"/>
    <w:rsid w:val="2F462F66"/>
    <w:rsid w:val="2FCB3B1E"/>
    <w:rsid w:val="31AF4A89"/>
    <w:rsid w:val="322B1CE2"/>
    <w:rsid w:val="37727DE9"/>
    <w:rsid w:val="37A429CF"/>
    <w:rsid w:val="3C1954EA"/>
    <w:rsid w:val="3D242E36"/>
    <w:rsid w:val="3D5B20E4"/>
    <w:rsid w:val="420267DC"/>
    <w:rsid w:val="4340580E"/>
    <w:rsid w:val="43A9465C"/>
    <w:rsid w:val="48EB26B6"/>
    <w:rsid w:val="4CD21293"/>
    <w:rsid w:val="4F870321"/>
    <w:rsid w:val="53D31D87"/>
    <w:rsid w:val="55144405"/>
    <w:rsid w:val="57D63BF4"/>
    <w:rsid w:val="57DE0CFA"/>
    <w:rsid w:val="5A7957D3"/>
    <w:rsid w:val="5ADF37DB"/>
    <w:rsid w:val="5AEB60BB"/>
    <w:rsid w:val="5B306400"/>
    <w:rsid w:val="5CD10E2D"/>
    <w:rsid w:val="5D350B78"/>
    <w:rsid w:val="5F667F60"/>
    <w:rsid w:val="609A1C6E"/>
    <w:rsid w:val="651D7306"/>
    <w:rsid w:val="6C2E1475"/>
    <w:rsid w:val="6E980295"/>
    <w:rsid w:val="718637A1"/>
    <w:rsid w:val="72180635"/>
    <w:rsid w:val="77E872FF"/>
    <w:rsid w:val="78615304"/>
    <w:rsid w:val="7ADE2469"/>
    <w:rsid w:val="7FD74C3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11">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Body Text Indent"/>
    <w:basedOn w:val="1"/>
    <w:qFormat/>
    <w:uiPriority w:val="0"/>
    <w:pPr>
      <w:spacing w:after="120"/>
      <w:ind w:left="420" w:leftChars="200"/>
    </w:p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footnote text"/>
    <w:basedOn w:val="1"/>
    <w:next w:val="7"/>
    <w:uiPriority w:val="0"/>
    <w:pPr>
      <w:snapToGrid w:val="0"/>
      <w:jc w:val="left"/>
    </w:pPr>
    <w:rPr>
      <w:sz w:val="18"/>
      <w:szCs w:val="18"/>
    </w:rPr>
  </w:style>
  <w:style w:type="paragraph" w:customStyle="1" w:styleId="7">
    <w:name w:val="Body Text First Indent 2"/>
    <w:basedOn w:val="8"/>
    <w:next w:val="1"/>
    <w:qFormat/>
    <w:uiPriority w:val="0"/>
    <w:pPr>
      <w:ind w:firstLine="420" w:firstLineChars="200"/>
    </w:pPr>
  </w:style>
  <w:style w:type="paragraph" w:customStyle="1" w:styleId="8">
    <w:name w:val="Body Text Indent"/>
    <w:basedOn w:val="1"/>
    <w:next w:val="7"/>
    <w:uiPriority w:val="0"/>
    <w:pPr>
      <w:widowControl/>
      <w:spacing w:after="120"/>
      <w:ind w:left="420" w:leftChars="200"/>
      <w:jc w:val="left"/>
    </w:pPr>
    <w:rPr>
      <w:rFonts w:ascii="宋体" w:hAnsi="宋体" w:eastAsia="宋体" w:cs="宋体"/>
      <w:kern w:val="0"/>
      <w:sz w:val="24"/>
    </w:rPr>
  </w:style>
  <w:style w:type="paragraph" w:styleId="9">
    <w:name w:val="Body Text First Indent 2"/>
    <w:basedOn w:val="3"/>
    <w:qFormat/>
    <w:uiPriority w:val="0"/>
    <w:pPr>
      <w:ind w:firstLine="420" w:firstLineChars="200"/>
    </w:pPr>
  </w:style>
  <w:style w:type="character" w:customStyle="1" w:styleId="12">
    <w:name w:val="页脚 Char"/>
    <w:basedOn w:val="11"/>
    <w:link w:val="4"/>
    <w:semiHidden/>
    <w:qFormat/>
    <w:uiPriority w:val="0"/>
    <w:rPr>
      <w:sz w:val="18"/>
      <w:szCs w:val="18"/>
    </w:rPr>
  </w:style>
  <w:style w:type="character" w:customStyle="1" w:styleId="13">
    <w:name w:val="页眉 Char"/>
    <w:basedOn w:val="11"/>
    <w:link w:val="5"/>
    <w:semiHidden/>
    <w:qFormat/>
    <w:uiPriority w:val="0"/>
    <w:rPr>
      <w:sz w:val="18"/>
      <w:szCs w:val="18"/>
    </w:rPr>
  </w:style>
  <w:style w:type="paragraph" w:customStyle="1" w:styleId="14">
    <w:name w:val="批注框文本 Char Char"/>
    <w:basedOn w:val="1"/>
    <w:link w:val="17"/>
    <w:qFormat/>
    <w:uiPriority w:val="0"/>
    <w:rPr>
      <w:sz w:val="18"/>
      <w:szCs w:val="18"/>
    </w:rPr>
  </w:style>
  <w:style w:type="paragraph" w:customStyle="1" w:styleId="15">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16">
    <w:name w:val="List Paragraph"/>
    <w:basedOn w:val="1"/>
    <w:qFormat/>
    <w:uiPriority w:val="0"/>
    <w:pPr>
      <w:ind w:firstLine="420" w:firstLineChars="200"/>
    </w:pPr>
  </w:style>
  <w:style w:type="character" w:customStyle="1" w:styleId="17">
    <w:name w:val="批注框文本 Char Char Char Char"/>
    <w:basedOn w:val="11"/>
    <w:link w:val="14"/>
    <w:semiHidden/>
    <w:qFormat/>
    <w:uiPriority w:val="0"/>
    <w:rPr>
      <w:sz w:val="18"/>
      <w:szCs w:val="18"/>
    </w:rPr>
  </w:style>
  <w:style w:type="character" w:customStyle="1" w:styleId="18">
    <w:name w:val="font01"/>
    <w:basedOn w:val="11"/>
    <w:qFormat/>
    <w:uiPriority w:val="0"/>
    <w:rPr>
      <w:rFonts w:hint="eastAsia" w:ascii="宋体" w:hAnsi="宋体" w:eastAsia="宋体" w:cs="宋体"/>
      <w:color w:val="000000"/>
      <w:sz w:val="22"/>
      <w:szCs w:val="22"/>
      <w:u w:val="none"/>
    </w:rPr>
  </w:style>
  <w:style w:type="character" w:customStyle="1" w:styleId="19">
    <w:name w:val="font21"/>
    <w:basedOn w:val="11"/>
    <w:qFormat/>
    <w:uiPriority w:val="0"/>
    <w:rPr>
      <w:rFonts w:hint="eastAsia" w:ascii="宋体" w:hAnsi="宋体" w:eastAsia="宋体" w:cs="宋体"/>
      <w:color w:val="000000"/>
      <w:sz w:val="24"/>
      <w:szCs w:val="24"/>
      <w:u w:val="none"/>
    </w:rPr>
  </w:style>
  <w:style w:type="character" w:customStyle="1" w:styleId="20">
    <w:name w:val="font11"/>
    <w:basedOn w:val="11"/>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1.e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6.emf"/><Relationship Id="rId17" Type="http://schemas.openxmlformats.org/officeDocument/2006/relationships/oleObject" Target="embeddings/oleObject6.bin"/><Relationship Id="rId16" Type="http://schemas.openxmlformats.org/officeDocument/2006/relationships/image" Target="media/image5.emf"/><Relationship Id="rId15" Type="http://schemas.openxmlformats.org/officeDocument/2006/relationships/oleObject" Target="embeddings/oleObject5.bin"/><Relationship Id="rId14" Type="http://schemas.openxmlformats.org/officeDocument/2006/relationships/image" Target="media/image4.emf"/><Relationship Id="rId13" Type="http://schemas.openxmlformats.org/officeDocument/2006/relationships/oleObject" Target="embeddings/oleObject4.bin"/><Relationship Id="rId12" Type="http://schemas.openxmlformats.org/officeDocument/2006/relationships/image" Target="media/image3.emf"/><Relationship Id="rId11" Type="http://schemas.openxmlformats.org/officeDocument/2006/relationships/oleObject" Target="embeddings/oleObject3.bin"/><Relationship Id="rId10" Type="http://schemas.openxmlformats.org/officeDocument/2006/relationships/image" Target="media/image2.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7482</Words>
  <Characters>8323</Characters>
  <Lines>69</Lines>
  <Paragraphs>19</Paragraphs>
  <TotalTime>3</TotalTime>
  <ScaleCrop>false</ScaleCrop>
  <LinksUpToDate>false</LinksUpToDate>
  <CharactersWithSpaces>8441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2025-08-19T18:17:00Z</dcterms:created>
  <dc:creator>李航 null</dc:creator>
  <cp:lastModifiedBy>飘零落叶</cp:lastModifiedBy>
  <cp:lastPrinted>2025-10-29T02:11:41Z</cp:lastPrinted>
  <dcterms:modified xsi:type="dcterms:W3CDTF">2025-10-29T03:18:02Z</dcterms:modified>
  <dc:title>周亮辉 null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E2E49CBF492D42AAB912AFD7C69B18EB_13</vt:lpwstr>
  </property>
  <property fmtid="{D5CDD505-2E9C-101B-9397-08002B2CF9AE}" pid="4" name="KSOTemplateDocerSaveRecord">
    <vt:lpwstr>eyJoZGlkIjoiZTg5YmMwZDJhZjY1MTU5NGE4MTI0ODM3YmIyZGU3NjciLCJ1c2VySWQiOiIzMzgwODIxNzgifQ==</vt:lpwstr>
  </property>
</Properties>
</file>