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全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省禁毒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宣传片和海报作品展播宣传情况统计表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填报市州：</w:t>
      </w:r>
    </w:p>
    <w:tbl>
      <w:tblPr>
        <w:tblStyle w:val="4"/>
        <w:tblW w:w="87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599"/>
        <w:gridCol w:w="1241"/>
        <w:gridCol w:w="2373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电视媒体展播情况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参与展播电视台数量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累计展播次数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广播媒体展播情况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参与展播电台数量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累计展播次数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报刊媒体展播情况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参与展播报刊数量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累计展播次数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网络媒体展播情况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参与展播网络媒体数量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累计展播次数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累计浏览量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新媒体平台（单位新媒体及禁毒自媒体）展播情况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参与展播平台数量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累计展播次数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累计浏览量</w:t>
            </w:r>
          </w:p>
        </w:tc>
        <w:tc>
          <w:tcPr>
            <w:tcW w:w="51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7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海报印制张贴情况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印制张贴份数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  <w:t>覆盖场所个数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C7DD6"/>
    <w:rsid w:val="0AFC7DD6"/>
    <w:rsid w:val="60BB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2025-06-17T15:39:00Z</dcterms:created>
  <dc:creator>梁涛</dc:creator>
  <cp:lastModifiedBy>梁涛</cp:lastModifiedBy>
  <dcterms:modified xsi:type="dcterms:W3CDTF">2025-06-17T16:01:37Z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