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_GBK" w:cs="Times New Roman"/>
          <w:color w:val="FF0000"/>
          <w:sz w:val="109"/>
          <w:lang w:val="en-US" w:eastAsia="zh-CN"/>
        </w:rPr>
      </w:pPr>
      <w:r>
        <w:rPr>
          <w:rFonts w:hint="default" w:ascii="Times New Roman" w:hAnsi="Times New Roman" w:eastAsia="方正小标宋_GBK" w:cs="Times New Roman"/>
          <w:color w:val="FF0000"/>
          <w:spacing w:val="115"/>
          <w:w w:val="50"/>
          <w:kern w:val="0"/>
          <w:sz w:val="109"/>
        </w:rPr>
        <w:t>衡</w:t>
      </w:r>
      <w:r>
        <w:rPr>
          <w:rFonts w:hint="default" w:ascii="Times New Roman" w:hAnsi="Times New Roman" w:eastAsia="方正小标宋_GBK" w:cs="Times New Roman"/>
          <w:color w:val="FF0000"/>
          <w:w w:val="50"/>
          <w:kern w:val="0"/>
          <w:sz w:val="109"/>
        </w:rPr>
        <w:t xml:space="preserve">阳 县 </w:t>
      </w:r>
      <w:r>
        <w:rPr>
          <w:rFonts w:hint="eastAsia" w:ascii="Times New Roman" w:hAnsi="Times New Roman" w:eastAsia="方正小标宋_GBK" w:cs="Times New Roman"/>
          <w:color w:val="FF0000"/>
          <w:w w:val="50"/>
          <w:kern w:val="0"/>
          <w:sz w:val="109"/>
          <w:lang w:val="en-US" w:eastAsia="zh-CN"/>
        </w:rPr>
        <w:t>溪 江 乡 人 民 政 府</w:t>
      </w:r>
    </w:p>
    <w:p>
      <w:pPr>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8255</wp:posOffset>
                </wp:positionH>
                <wp:positionV relativeFrom="paragraph">
                  <wp:posOffset>8255</wp:posOffset>
                </wp:positionV>
                <wp:extent cx="5257800" cy="0"/>
                <wp:effectExtent l="0" t="13970" r="0" b="24130"/>
                <wp:wrapNone/>
                <wp:docPr id="1" name="直接连接符 1"/>
                <wp:cNvGraphicFramePr/>
                <a:graphic xmlns:a="http://schemas.openxmlformats.org/drawingml/2006/main">
                  <a:graphicData uri="http://schemas.microsoft.com/office/word/2010/wordprocessingShape">
                    <wps:wsp>
                      <wps:cNvCnPr/>
                      <wps:spPr>
                        <a:xfrm>
                          <a:off x="0" y="0"/>
                          <a:ext cx="525780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65pt;margin-top:0.65pt;height:0pt;width:414pt;z-index:251659264;mso-width-relative:page;mso-height-relative:page;" filled="f" stroked="t" coordsize="21600,21600" o:gfxdata="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jYixXRAAAABQEAAA8AAAAAAAAAAQAgAAAAIgAAAGRycy9kb3ducmV2LnhtbFBLAQIUABQA&#10;AAAIAIdO4kAYeVUz9wEAAOUDAAAOAAAAAAAAAAEAIAAAACABAABkcnMvZTJvRG9jLnhtbFBLBQYA&#10;AAAABgAGAFkBAACJBQAAAAA=&#10;">
                <v:fill on="f" focussize="0,0"/>
                <v:stroke weight="2.25pt" color="#FF0000" joinstyle="round"/>
                <v:imagedata o:title=""/>
                <o:lock v:ext="edit" aspectratio="f"/>
              </v:line>
            </w:pict>
          </mc:Fallback>
        </mc:AlternateContent>
      </w:r>
    </w:p>
    <w:p>
      <w:pPr>
        <w:spacing w:line="600" w:lineRule="exact"/>
        <w:jc w:val="center"/>
        <w:rPr>
          <w:rFonts w:hint="default" w:ascii="Times New Roman" w:hAnsi="Times New Roman" w:eastAsia="方正小标宋_GBK" w:cs="Times New Roman"/>
          <w:sz w:val="40"/>
          <w:szCs w:val="40"/>
        </w:rPr>
      </w:pPr>
      <w:r>
        <w:rPr>
          <w:rFonts w:hint="default" w:ascii="Times New Roman" w:hAnsi="Times New Roman" w:eastAsia="方正小标宋_GBK" w:cs="Times New Roman"/>
          <w:sz w:val="40"/>
          <w:szCs w:val="40"/>
        </w:rPr>
        <w:t>部门整体支出绩效自评报告</w:t>
      </w:r>
    </w:p>
    <w:p>
      <w:pPr>
        <w:pStyle w:val="2"/>
        <w:keepNext w:val="0"/>
        <w:keepLines w:val="0"/>
        <w:pageBreakBefore w:val="0"/>
        <w:widowControl w:val="0"/>
        <w:kinsoku/>
        <w:wordWrap/>
        <w:overflowPunct/>
        <w:topLinePunct w:val="0"/>
        <w:autoSpaceDE/>
        <w:autoSpaceDN/>
        <w:bidi w:val="0"/>
        <w:adjustRightInd w:val="0"/>
        <w:snapToGrid w:val="0"/>
        <w:spacing w:line="120" w:lineRule="auto"/>
        <w:textAlignment w:val="auto"/>
        <w:rPr>
          <w:rFonts w:hint="default"/>
        </w:rPr>
      </w:pPr>
    </w:p>
    <w:p>
      <w:pPr>
        <w:pStyle w:val="9"/>
        <w:widowControl/>
        <w:spacing w:line="600" w:lineRule="exact"/>
        <w:ind w:left="640" w:firstLine="0" w:firstLineChars="0"/>
        <w:rPr>
          <w:rFonts w:hint="eastAsia" w:ascii="黑体" w:hAnsi="黑体" w:eastAsia="黑体" w:cs="黑体"/>
          <w:b w:val="0"/>
          <w:bCs w:val="0"/>
          <w:sz w:val="32"/>
          <w:szCs w:val="32"/>
        </w:rPr>
      </w:pPr>
      <w:r>
        <w:rPr>
          <w:rFonts w:hint="eastAsia" w:ascii="黑体" w:hAnsi="黑体" w:eastAsia="黑体" w:cs="黑体"/>
          <w:b w:val="0"/>
          <w:bCs w:val="0"/>
          <w:sz w:val="32"/>
          <w:szCs w:val="32"/>
        </w:rPr>
        <w:t>一、部门、单位基本情况</w:t>
      </w:r>
    </w:p>
    <w:p>
      <w:pPr>
        <w:numPr>
          <w:ilvl w:val="0"/>
          <w:numId w:val="0"/>
        </w:numPr>
        <w:spacing w:line="600" w:lineRule="exact"/>
        <w:ind w:firstLine="964" w:firstLineChars="300"/>
        <w:jc w:val="both"/>
        <w:rPr>
          <w:rFonts w:hint="eastAsia" w:ascii="宋体" w:hAnsi="宋体" w:eastAsia="宋体" w:cs="宋体"/>
          <w:b/>
          <w:bCs/>
          <w:kern w:val="2"/>
          <w:sz w:val="28"/>
          <w:szCs w:val="28"/>
          <w:lang w:val="en-US" w:eastAsia="zh-CN" w:bidi="ar-SA"/>
        </w:rPr>
      </w:pPr>
      <w:r>
        <w:rPr>
          <w:rFonts w:hint="eastAsia" w:ascii="楷体_GB2312" w:eastAsia="楷体_GB2312"/>
          <w:b/>
          <w:bCs/>
          <w:sz w:val="32"/>
          <w:szCs w:val="32"/>
          <w:lang w:eastAsia="zh-CN"/>
        </w:rPr>
        <w:t>（</w:t>
      </w:r>
      <w:r>
        <w:rPr>
          <w:rFonts w:hint="eastAsia" w:ascii="楷体_GB2312" w:eastAsia="楷体_GB2312"/>
          <w:b/>
          <w:bCs/>
          <w:sz w:val="32"/>
          <w:szCs w:val="32"/>
          <w:lang w:val="en-US" w:eastAsia="zh-CN"/>
        </w:rPr>
        <w:t>一</w:t>
      </w:r>
      <w:r>
        <w:rPr>
          <w:rFonts w:hint="eastAsia" w:ascii="楷体_GB2312" w:eastAsia="楷体_GB2312"/>
          <w:b/>
          <w:bCs/>
          <w:sz w:val="32"/>
          <w:szCs w:val="32"/>
          <w:lang w:eastAsia="zh-CN"/>
        </w:rPr>
        <w:t>）</w:t>
      </w:r>
      <w:r>
        <w:rPr>
          <w:rFonts w:hint="eastAsia" w:ascii="楷体_GB2312" w:eastAsia="楷体_GB2312"/>
          <w:b/>
          <w:bCs/>
          <w:sz w:val="32"/>
          <w:szCs w:val="32"/>
        </w:rPr>
        <w:t>机构设置情况</w:t>
      </w:r>
    </w:p>
    <w:p>
      <w:pPr>
        <w:widowControl/>
        <w:spacing w:line="600" w:lineRule="exact"/>
        <w:ind w:firstLine="640" w:firstLineChars="200"/>
        <w:jc w:val="left"/>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衡阳县溪江乡人民政府为正科级全额拨款行政单位。内设机构6个，所属事业单位3个，</w:t>
      </w:r>
      <w:bookmarkStart w:id="0" w:name="_GoBack"/>
      <w:bookmarkEnd w:id="0"/>
      <w:r>
        <w:rPr>
          <w:rFonts w:hint="eastAsia" w:ascii="仿宋_GB2312" w:hAnsi="Times New Roman" w:eastAsia="仿宋_GB2312" w:cs="Times New Roman"/>
          <w:sz w:val="32"/>
          <w:szCs w:val="32"/>
          <w:lang w:val="en-US" w:eastAsia="zh-CN"/>
        </w:rPr>
        <w:t>执法机构1个。内设机构分别是党政综合办公室、经济发展办公室、社会事务办公室、自然资源和生态环境办公室、社会治安综合治理和应急管理办公室、基层党建工作办公室。所属事业单位分别是社会事业综合服务中心、农业综合服务中心、政务服务中心。执法机构是综合行政执法大队。</w:t>
      </w:r>
    </w:p>
    <w:p>
      <w:pPr>
        <w:pStyle w:val="9"/>
        <w:widowControl/>
        <w:numPr>
          <w:ilvl w:val="0"/>
          <w:numId w:val="1"/>
        </w:numPr>
        <w:spacing w:line="600" w:lineRule="exact"/>
        <w:ind w:left="640" w:firstLine="0" w:firstLineChars="0"/>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人员编制情况</w:t>
      </w:r>
    </w:p>
    <w:p>
      <w:pPr>
        <w:widowControl/>
        <w:spacing w:line="600" w:lineRule="exact"/>
        <w:ind w:firstLine="640" w:firstLineChars="200"/>
        <w:jc w:val="left"/>
        <w:rPr>
          <w:rFonts w:hint="default" w:ascii="Times New Roman" w:hAnsi="Times New Roman" w:eastAsia="楷体_GB2312" w:cs="Times New Roman"/>
          <w:sz w:val="32"/>
          <w:szCs w:val="32"/>
        </w:rPr>
      </w:pPr>
      <w:r>
        <w:rPr>
          <w:rFonts w:hint="eastAsia" w:ascii="仿宋_GB2312" w:hAnsi="Times New Roman" w:eastAsia="仿宋_GB2312" w:cs="Times New Roman"/>
          <w:sz w:val="32"/>
          <w:szCs w:val="32"/>
          <w:lang w:val="en-US" w:eastAsia="zh-CN"/>
        </w:rPr>
        <w:t>我乡核定编制87，实有在职干部职工66人，离退休人员42人。</w:t>
      </w:r>
    </w:p>
    <w:p>
      <w:pPr>
        <w:pStyle w:val="9"/>
        <w:widowControl/>
        <w:spacing w:line="600" w:lineRule="exact"/>
        <w:ind w:left="640" w:firstLine="0" w:firstLineChars="0"/>
        <w:rPr>
          <w:rFonts w:hint="eastAsia" w:ascii="黑体" w:hAnsi="黑体" w:eastAsia="黑体" w:cs="黑体"/>
          <w:b w:val="0"/>
          <w:bCs w:val="0"/>
          <w:sz w:val="32"/>
          <w:szCs w:val="32"/>
        </w:rPr>
      </w:pPr>
      <w:r>
        <w:rPr>
          <w:rFonts w:hint="eastAsia" w:ascii="黑体" w:hAnsi="黑体" w:eastAsia="黑体" w:cs="黑体"/>
          <w:b w:val="0"/>
          <w:bCs w:val="0"/>
          <w:sz w:val="32"/>
          <w:szCs w:val="32"/>
        </w:rPr>
        <w:t>二、预算支出情况</w:t>
      </w:r>
    </w:p>
    <w:p>
      <w:pPr>
        <w:widowControl/>
        <w:spacing w:line="600" w:lineRule="exact"/>
        <w:ind w:firstLine="643" w:firstLineChars="200"/>
        <w:jc w:val="left"/>
        <w:rPr>
          <w:rFonts w:hint="eastAsia" w:ascii="仿宋_GB2312" w:hAnsi="Times New Roman" w:eastAsia="仿宋_GB2312" w:cs="Times New Roman"/>
          <w:b/>
          <w:bCs/>
          <w:sz w:val="32"/>
          <w:szCs w:val="32"/>
          <w:lang w:val="en-US" w:eastAsia="zh-CN"/>
        </w:rPr>
      </w:pPr>
      <w:r>
        <w:rPr>
          <w:rFonts w:hint="eastAsia" w:ascii="仿宋_GB2312" w:hAnsi="Times New Roman" w:eastAsia="仿宋_GB2312" w:cs="Times New Roman"/>
          <w:b/>
          <w:bCs/>
          <w:sz w:val="32"/>
          <w:szCs w:val="32"/>
          <w:lang w:val="en-US" w:eastAsia="zh-CN"/>
        </w:rPr>
        <w:t>（一）部门预决算情况</w:t>
      </w:r>
    </w:p>
    <w:p>
      <w:pPr>
        <w:widowControl/>
        <w:spacing w:line="600" w:lineRule="exact"/>
        <w:ind w:firstLine="643" w:firstLineChars="200"/>
        <w:jc w:val="left"/>
        <w:rPr>
          <w:rFonts w:hint="default" w:ascii="仿宋_GB2312" w:hAnsi="Times New Roman" w:eastAsia="仿宋_GB2312" w:cs="Times New Roman"/>
          <w:b/>
          <w:bCs/>
          <w:sz w:val="32"/>
          <w:szCs w:val="32"/>
          <w:lang w:val="en-US" w:eastAsia="zh-CN"/>
        </w:rPr>
      </w:pPr>
      <w:r>
        <w:rPr>
          <w:rFonts w:hint="default" w:ascii="仿宋_GB2312" w:hAnsi="Times New Roman" w:eastAsia="仿宋_GB2312" w:cs="Times New Roman"/>
          <w:b/>
          <w:bCs/>
          <w:sz w:val="32"/>
          <w:szCs w:val="32"/>
          <w:lang w:val="en-US" w:eastAsia="zh-CN"/>
        </w:rPr>
        <w:t>1.部门预算情况</w:t>
      </w:r>
    </w:p>
    <w:p>
      <w:pPr>
        <w:widowControl/>
        <w:spacing w:line="600" w:lineRule="exact"/>
        <w:ind w:firstLine="640" w:firstLineChars="200"/>
        <w:jc w:val="left"/>
        <w:rPr>
          <w:rFonts w:hint="default" w:ascii="仿宋_GB2312" w:hAnsi="Times New Roman" w:eastAsia="仿宋_GB2312" w:cs="Times New Roman"/>
          <w:sz w:val="32"/>
          <w:szCs w:val="32"/>
          <w:lang w:val="en-US" w:eastAsia="zh-CN"/>
        </w:rPr>
      </w:pPr>
      <w:r>
        <w:rPr>
          <w:rFonts w:hint="default" w:ascii="仿宋_GB2312" w:hAnsi="Times New Roman" w:eastAsia="仿宋_GB2312" w:cs="Times New Roman"/>
          <w:sz w:val="32"/>
          <w:szCs w:val="32"/>
          <w:lang w:val="en-US" w:eastAsia="zh-CN"/>
        </w:rPr>
        <w:t>2023年年初预算安排收入</w:t>
      </w:r>
      <w:r>
        <w:rPr>
          <w:rFonts w:hint="eastAsia" w:ascii="仿宋_GB2312" w:hAnsi="Times New Roman" w:eastAsia="仿宋_GB2312" w:cs="Times New Roman"/>
          <w:sz w:val="32"/>
          <w:szCs w:val="32"/>
          <w:lang w:val="en-US" w:eastAsia="zh-CN"/>
        </w:rPr>
        <w:t>1279.27</w:t>
      </w:r>
      <w:r>
        <w:rPr>
          <w:rFonts w:hint="default" w:ascii="仿宋_GB2312" w:hAnsi="Times New Roman" w:eastAsia="仿宋_GB2312" w:cs="Times New Roman"/>
          <w:sz w:val="32"/>
          <w:szCs w:val="32"/>
          <w:lang w:val="en-US" w:eastAsia="zh-CN"/>
        </w:rPr>
        <w:t>万元，其中一般公共财政拨款</w:t>
      </w:r>
      <w:r>
        <w:rPr>
          <w:rFonts w:hint="eastAsia" w:ascii="仿宋_GB2312" w:hAnsi="Times New Roman" w:eastAsia="仿宋_GB2312" w:cs="Times New Roman"/>
          <w:sz w:val="32"/>
          <w:szCs w:val="32"/>
          <w:lang w:val="en-US" w:eastAsia="zh-CN"/>
        </w:rPr>
        <w:t>1078.43</w:t>
      </w:r>
      <w:r>
        <w:rPr>
          <w:rFonts w:hint="default" w:ascii="仿宋_GB2312" w:hAnsi="Times New Roman" w:eastAsia="仿宋_GB2312" w:cs="Times New Roman"/>
          <w:sz w:val="32"/>
          <w:szCs w:val="32"/>
          <w:lang w:val="en-US" w:eastAsia="zh-CN"/>
        </w:rPr>
        <w:t>万元</w:t>
      </w:r>
      <w:r>
        <w:rPr>
          <w:rFonts w:hint="eastAsia" w:ascii="仿宋_GB2312" w:hAnsi="Times New Roman" w:eastAsia="仿宋_GB2312" w:cs="Times New Roman"/>
          <w:sz w:val="32"/>
          <w:szCs w:val="32"/>
          <w:lang w:val="en-US" w:eastAsia="zh-CN"/>
        </w:rPr>
        <w:t>，年初结转和结余资金200.84万元</w:t>
      </w:r>
      <w:r>
        <w:rPr>
          <w:rFonts w:hint="default" w:ascii="仿宋_GB2312" w:hAnsi="Times New Roman" w:eastAsia="仿宋_GB2312" w:cs="Times New Roman"/>
          <w:sz w:val="32"/>
          <w:szCs w:val="32"/>
          <w:lang w:val="en-US" w:eastAsia="zh-CN"/>
        </w:rPr>
        <w:t>；2023年年初预算安排支出</w:t>
      </w:r>
      <w:r>
        <w:rPr>
          <w:rFonts w:hint="eastAsia" w:ascii="仿宋_GB2312" w:hAnsi="Times New Roman" w:eastAsia="仿宋_GB2312" w:cs="Times New Roman"/>
          <w:sz w:val="32"/>
          <w:szCs w:val="32"/>
          <w:lang w:val="en-US" w:eastAsia="zh-CN"/>
        </w:rPr>
        <w:t>1279.27</w:t>
      </w:r>
      <w:r>
        <w:rPr>
          <w:rFonts w:hint="default" w:ascii="仿宋_GB2312" w:hAnsi="Times New Roman" w:eastAsia="仿宋_GB2312" w:cs="Times New Roman"/>
          <w:sz w:val="32"/>
          <w:szCs w:val="32"/>
          <w:lang w:val="en-US" w:eastAsia="zh-CN"/>
        </w:rPr>
        <w:t>万元</w:t>
      </w:r>
      <w:r>
        <w:rPr>
          <w:rFonts w:hint="eastAsia" w:ascii="仿宋_GB2312" w:hAnsi="Times New Roman" w:eastAsia="仿宋_GB2312" w:cs="Times New Roman"/>
          <w:sz w:val="32"/>
          <w:szCs w:val="32"/>
          <w:lang w:val="en-US" w:eastAsia="zh-CN"/>
        </w:rPr>
        <w:t>，</w:t>
      </w:r>
      <w:r>
        <w:rPr>
          <w:rFonts w:hint="default" w:ascii="仿宋_GB2312" w:hAnsi="Times New Roman" w:eastAsia="仿宋_GB2312" w:cs="Times New Roman"/>
          <w:sz w:val="32"/>
          <w:szCs w:val="32"/>
          <w:lang w:val="en-US" w:eastAsia="zh-CN"/>
        </w:rPr>
        <w:t>其中一般公共财政拨款</w:t>
      </w:r>
      <w:r>
        <w:rPr>
          <w:rFonts w:hint="eastAsia" w:ascii="仿宋_GB2312" w:hAnsi="Times New Roman" w:eastAsia="仿宋_GB2312" w:cs="Times New Roman"/>
          <w:sz w:val="32"/>
          <w:szCs w:val="32"/>
          <w:lang w:val="en-US" w:eastAsia="zh-CN"/>
        </w:rPr>
        <w:t>1078.43</w:t>
      </w:r>
      <w:r>
        <w:rPr>
          <w:rFonts w:hint="default" w:ascii="仿宋_GB2312" w:hAnsi="Times New Roman" w:eastAsia="仿宋_GB2312" w:cs="Times New Roman"/>
          <w:sz w:val="32"/>
          <w:szCs w:val="32"/>
          <w:lang w:val="en-US" w:eastAsia="zh-CN"/>
        </w:rPr>
        <w:t>万元</w:t>
      </w:r>
      <w:r>
        <w:rPr>
          <w:rFonts w:hint="eastAsia" w:ascii="仿宋_GB2312" w:hAnsi="Times New Roman" w:eastAsia="仿宋_GB2312" w:cs="Times New Roman"/>
          <w:sz w:val="32"/>
          <w:szCs w:val="32"/>
          <w:lang w:val="en-US" w:eastAsia="zh-CN"/>
        </w:rPr>
        <w:t>，年初结转和结余资金200.84万元</w:t>
      </w:r>
      <w:r>
        <w:rPr>
          <w:rFonts w:hint="default" w:ascii="仿宋_GB2312" w:hAnsi="Times New Roman" w:eastAsia="仿宋_GB2312" w:cs="Times New Roman"/>
          <w:sz w:val="32"/>
          <w:szCs w:val="32"/>
          <w:lang w:val="en-US" w:eastAsia="zh-CN"/>
        </w:rPr>
        <w:t>；其中：基本支出</w:t>
      </w:r>
      <w:r>
        <w:rPr>
          <w:rFonts w:hint="eastAsia" w:ascii="仿宋_GB2312" w:hAnsi="Times New Roman" w:eastAsia="仿宋_GB2312" w:cs="Times New Roman"/>
          <w:sz w:val="32"/>
          <w:szCs w:val="32"/>
          <w:lang w:val="en-US" w:eastAsia="zh-CN"/>
        </w:rPr>
        <w:t>671.03</w:t>
      </w:r>
      <w:r>
        <w:rPr>
          <w:rFonts w:hint="default" w:ascii="仿宋_GB2312" w:hAnsi="Times New Roman" w:eastAsia="仿宋_GB2312" w:cs="Times New Roman"/>
          <w:sz w:val="32"/>
          <w:szCs w:val="32"/>
          <w:lang w:val="en-US" w:eastAsia="zh-CN"/>
        </w:rPr>
        <w:t>万元，项目支出</w:t>
      </w:r>
      <w:r>
        <w:rPr>
          <w:rFonts w:hint="eastAsia" w:ascii="仿宋_GB2312" w:hAnsi="Times New Roman" w:eastAsia="仿宋_GB2312" w:cs="Times New Roman"/>
          <w:sz w:val="32"/>
          <w:szCs w:val="32"/>
          <w:lang w:val="en-US" w:eastAsia="zh-CN"/>
        </w:rPr>
        <w:t>608.24</w:t>
      </w:r>
      <w:r>
        <w:rPr>
          <w:rFonts w:hint="default" w:ascii="仿宋_GB2312" w:hAnsi="Times New Roman" w:eastAsia="仿宋_GB2312" w:cs="Times New Roman"/>
          <w:sz w:val="32"/>
          <w:szCs w:val="32"/>
          <w:lang w:val="en-US" w:eastAsia="zh-CN"/>
        </w:rPr>
        <w:t>万元。</w:t>
      </w:r>
    </w:p>
    <w:p>
      <w:pPr>
        <w:widowControl/>
        <w:spacing w:line="600" w:lineRule="exact"/>
        <w:ind w:firstLine="643" w:firstLineChars="200"/>
        <w:jc w:val="left"/>
        <w:rPr>
          <w:rFonts w:hint="default" w:ascii="仿宋_GB2312" w:hAnsi="Times New Roman" w:eastAsia="仿宋_GB2312" w:cs="Times New Roman"/>
          <w:b/>
          <w:bCs/>
          <w:sz w:val="32"/>
          <w:szCs w:val="32"/>
          <w:lang w:val="en-US" w:eastAsia="zh-CN"/>
        </w:rPr>
      </w:pPr>
      <w:r>
        <w:rPr>
          <w:rFonts w:hint="default" w:ascii="仿宋_GB2312" w:hAnsi="Times New Roman" w:eastAsia="仿宋_GB2312" w:cs="Times New Roman"/>
          <w:b/>
          <w:bCs/>
          <w:sz w:val="32"/>
          <w:szCs w:val="32"/>
          <w:lang w:val="en-US" w:eastAsia="zh-CN"/>
        </w:rPr>
        <w:t>2.部门决算情况（含年中预算追加情况）</w:t>
      </w:r>
    </w:p>
    <w:p>
      <w:pPr>
        <w:widowControl/>
        <w:spacing w:line="600" w:lineRule="exact"/>
        <w:ind w:firstLine="640" w:firstLineChars="200"/>
        <w:jc w:val="left"/>
        <w:rPr>
          <w:rFonts w:hint="default" w:ascii="仿宋_GB2312" w:hAnsi="Times New Roman" w:eastAsia="仿宋_GB2312" w:cs="Times New Roman"/>
          <w:sz w:val="32"/>
          <w:szCs w:val="32"/>
          <w:lang w:val="en-US" w:eastAsia="zh-CN"/>
        </w:rPr>
      </w:pPr>
      <w:r>
        <w:rPr>
          <w:rFonts w:hint="default" w:ascii="仿宋_GB2312" w:hAnsi="Times New Roman" w:eastAsia="仿宋_GB2312" w:cs="Times New Roman"/>
          <w:sz w:val="32"/>
          <w:szCs w:val="32"/>
          <w:lang w:val="en-US" w:eastAsia="zh-CN"/>
        </w:rPr>
        <w:t>2023年决算总收入3720.18万元，较预算增加</w:t>
      </w:r>
      <w:r>
        <w:rPr>
          <w:rFonts w:hint="eastAsia" w:ascii="仿宋_GB2312" w:hAnsi="Times New Roman" w:eastAsia="仿宋_GB2312" w:cs="Times New Roman"/>
          <w:sz w:val="32"/>
          <w:szCs w:val="32"/>
          <w:lang w:val="en-US" w:eastAsia="zh-CN"/>
        </w:rPr>
        <w:t>2440.91</w:t>
      </w:r>
      <w:r>
        <w:rPr>
          <w:rFonts w:hint="default" w:ascii="仿宋_GB2312" w:hAnsi="Times New Roman" w:eastAsia="仿宋_GB2312" w:cs="Times New Roman"/>
          <w:sz w:val="32"/>
          <w:szCs w:val="32"/>
          <w:lang w:val="en-US" w:eastAsia="zh-CN"/>
        </w:rPr>
        <w:t>万元，总支出3720.18万元，其中：基本支出3707.18万元，占总支出的</w:t>
      </w:r>
      <w:r>
        <w:rPr>
          <w:rFonts w:hint="eastAsia" w:ascii="仿宋_GB2312" w:hAnsi="Times New Roman" w:eastAsia="仿宋_GB2312" w:cs="Times New Roman"/>
          <w:sz w:val="32"/>
          <w:szCs w:val="32"/>
          <w:lang w:val="en-US" w:eastAsia="zh-CN"/>
        </w:rPr>
        <w:t>99.65</w:t>
      </w:r>
      <w:r>
        <w:rPr>
          <w:rFonts w:hint="default" w:ascii="仿宋_GB2312" w:hAnsi="Times New Roman" w:eastAsia="仿宋_GB2312" w:cs="Times New Roman"/>
          <w:sz w:val="32"/>
          <w:szCs w:val="32"/>
          <w:lang w:val="en-US" w:eastAsia="zh-CN"/>
        </w:rPr>
        <w:t>％；项目支出</w:t>
      </w:r>
      <w:r>
        <w:rPr>
          <w:rFonts w:hint="eastAsia" w:ascii="仿宋_GB2312" w:hAnsi="Times New Roman" w:eastAsia="仿宋_GB2312" w:cs="Times New Roman"/>
          <w:sz w:val="32"/>
          <w:szCs w:val="32"/>
          <w:lang w:val="en-US" w:eastAsia="zh-CN"/>
        </w:rPr>
        <w:t>13</w:t>
      </w:r>
      <w:r>
        <w:rPr>
          <w:rFonts w:hint="default" w:ascii="仿宋_GB2312" w:hAnsi="Times New Roman" w:eastAsia="仿宋_GB2312" w:cs="Times New Roman"/>
          <w:sz w:val="32"/>
          <w:szCs w:val="32"/>
          <w:lang w:val="en-US" w:eastAsia="zh-CN"/>
        </w:rPr>
        <w:t>万元，占总支出的</w:t>
      </w:r>
      <w:r>
        <w:rPr>
          <w:rFonts w:hint="eastAsia" w:ascii="仿宋_GB2312" w:hAnsi="Times New Roman" w:eastAsia="仿宋_GB2312" w:cs="Times New Roman"/>
          <w:sz w:val="32"/>
          <w:szCs w:val="32"/>
          <w:lang w:val="en-US" w:eastAsia="zh-CN"/>
        </w:rPr>
        <w:t>0.35</w:t>
      </w:r>
      <w:r>
        <w:rPr>
          <w:rFonts w:hint="default" w:ascii="仿宋_GB2312" w:hAnsi="Times New Roman" w:eastAsia="仿宋_GB2312" w:cs="Times New Roman"/>
          <w:sz w:val="32"/>
          <w:szCs w:val="32"/>
          <w:lang w:val="en-US" w:eastAsia="zh-CN"/>
        </w:rPr>
        <w:t>％。差异产生的主要原因是本年将运转类项目计入基本支出。</w:t>
      </w:r>
    </w:p>
    <w:p>
      <w:pPr>
        <w:widowControl/>
        <w:spacing w:line="600" w:lineRule="exact"/>
        <w:ind w:firstLine="643" w:firstLineChars="200"/>
        <w:jc w:val="left"/>
        <w:rPr>
          <w:rFonts w:hint="default" w:ascii="仿宋_GB2312" w:hAnsi="Times New Roman" w:eastAsia="仿宋_GB2312" w:cs="Times New Roman"/>
          <w:b/>
          <w:bCs/>
          <w:sz w:val="32"/>
          <w:szCs w:val="32"/>
          <w:lang w:val="en-US" w:eastAsia="zh-CN"/>
        </w:rPr>
      </w:pPr>
      <w:r>
        <w:rPr>
          <w:rFonts w:hint="default" w:ascii="仿宋_GB2312" w:hAnsi="Times New Roman" w:eastAsia="仿宋_GB2312" w:cs="Times New Roman"/>
          <w:b/>
          <w:bCs/>
          <w:sz w:val="32"/>
          <w:szCs w:val="32"/>
          <w:lang w:val="en-US" w:eastAsia="zh-CN"/>
        </w:rPr>
        <w:t>（二）部门预算执行情况</w:t>
      </w:r>
    </w:p>
    <w:p>
      <w:pPr>
        <w:widowControl/>
        <w:spacing w:line="600" w:lineRule="exact"/>
        <w:ind w:firstLine="643" w:firstLineChars="200"/>
        <w:jc w:val="left"/>
        <w:rPr>
          <w:rFonts w:hint="default" w:ascii="仿宋_GB2312" w:hAnsi="Times New Roman" w:eastAsia="仿宋_GB2312" w:cs="Times New Roman"/>
          <w:b/>
          <w:bCs/>
          <w:sz w:val="32"/>
          <w:szCs w:val="32"/>
          <w:lang w:val="en-US" w:eastAsia="zh-CN"/>
        </w:rPr>
      </w:pPr>
      <w:r>
        <w:rPr>
          <w:rFonts w:hint="eastAsia" w:ascii="仿宋_GB2312" w:hAnsi="Times New Roman" w:eastAsia="仿宋_GB2312" w:cs="Times New Roman"/>
          <w:b/>
          <w:bCs/>
          <w:sz w:val="32"/>
          <w:szCs w:val="32"/>
          <w:lang w:val="en-US" w:eastAsia="zh-CN"/>
        </w:rPr>
        <w:t>1</w:t>
      </w:r>
      <w:r>
        <w:rPr>
          <w:rFonts w:hint="default" w:ascii="仿宋_GB2312" w:hAnsi="Times New Roman" w:eastAsia="仿宋_GB2312" w:cs="Times New Roman"/>
          <w:b/>
          <w:bCs/>
          <w:sz w:val="32"/>
          <w:szCs w:val="32"/>
          <w:lang w:val="en-US" w:eastAsia="zh-CN"/>
        </w:rPr>
        <w:t>.“三公</w:t>
      </w:r>
      <w:r>
        <w:rPr>
          <w:rFonts w:hint="eastAsia" w:ascii="仿宋_GB2312" w:hAnsi="Times New Roman" w:eastAsia="仿宋_GB2312" w:cs="Times New Roman"/>
          <w:b/>
          <w:bCs/>
          <w:sz w:val="32"/>
          <w:szCs w:val="32"/>
          <w:lang w:val="en-US" w:eastAsia="zh-CN"/>
        </w:rPr>
        <w:t>”</w:t>
      </w:r>
      <w:r>
        <w:rPr>
          <w:rFonts w:hint="default" w:ascii="仿宋_GB2312" w:hAnsi="Times New Roman" w:eastAsia="仿宋_GB2312" w:cs="Times New Roman"/>
          <w:b/>
          <w:bCs/>
          <w:sz w:val="32"/>
          <w:szCs w:val="32"/>
          <w:lang w:val="en-US" w:eastAsia="zh-CN"/>
        </w:rPr>
        <w:t>经费执行情况</w:t>
      </w:r>
    </w:p>
    <w:p>
      <w:pPr>
        <w:widowControl/>
        <w:spacing w:line="600" w:lineRule="exact"/>
        <w:ind w:firstLine="640" w:firstLineChars="200"/>
        <w:jc w:val="left"/>
        <w:rPr>
          <w:rFonts w:hint="default" w:ascii="仿宋_GB2312" w:hAnsi="Times New Roman" w:eastAsia="仿宋_GB2312" w:cs="Times New Roman"/>
          <w:sz w:val="32"/>
          <w:szCs w:val="32"/>
          <w:lang w:val="en-US" w:eastAsia="zh-CN"/>
        </w:rPr>
      </w:pPr>
      <w:r>
        <w:rPr>
          <w:rFonts w:hint="default" w:ascii="仿宋_GB2312" w:hAnsi="Times New Roman" w:eastAsia="仿宋_GB2312" w:cs="Times New Roman"/>
          <w:sz w:val="32"/>
          <w:szCs w:val="32"/>
          <w:lang w:val="en-US" w:eastAsia="zh-CN"/>
        </w:rPr>
        <w:t>2023年“三公</w:t>
      </w:r>
      <w:r>
        <w:rPr>
          <w:rFonts w:hint="eastAsia" w:ascii="仿宋_GB2312" w:hAnsi="Times New Roman" w:eastAsia="仿宋_GB2312" w:cs="Times New Roman"/>
          <w:sz w:val="32"/>
          <w:szCs w:val="32"/>
          <w:lang w:val="en-US" w:eastAsia="zh-CN"/>
        </w:rPr>
        <w:t>”</w:t>
      </w:r>
      <w:r>
        <w:rPr>
          <w:rFonts w:hint="default" w:ascii="仿宋_GB2312" w:hAnsi="Times New Roman" w:eastAsia="仿宋_GB2312" w:cs="Times New Roman"/>
          <w:sz w:val="32"/>
          <w:szCs w:val="32"/>
          <w:lang w:val="en-US" w:eastAsia="zh-CN"/>
        </w:rPr>
        <w:t>经费预算数</w:t>
      </w:r>
      <w:r>
        <w:rPr>
          <w:rFonts w:hint="eastAsia" w:ascii="仿宋_GB2312" w:hAnsi="Times New Roman" w:eastAsia="仿宋_GB2312" w:cs="Times New Roman"/>
          <w:sz w:val="32"/>
          <w:szCs w:val="32"/>
          <w:lang w:val="en-US" w:eastAsia="zh-CN"/>
        </w:rPr>
        <w:t>9.21</w:t>
      </w:r>
      <w:r>
        <w:rPr>
          <w:rFonts w:hint="default" w:ascii="仿宋_GB2312" w:hAnsi="Times New Roman" w:eastAsia="仿宋_GB2312" w:cs="Times New Roman"/>
          <w:sz w:val="32"/>
          <w:szCs w:val="32"/>
          <w:lang w:val="en-US" w:eastAsia="zh-CN"/>
        </w:rPr>
        <w:t>万元，其中：因公出国（境）费</w:t>
      </w:r>
      <w:r>
        <w:rPr>
          <w:rFonts w:hint="eastAsia" w:ascii="仿宋_GB2312" w:hAnsi="Times New Roman" w:eastAsia="仿宋_GB2312" w:cs="Times New Roman"/>
          <w:sz w:val="32"/>
          <w:szCs w:val="32"/>
          <w:lang w:val="en-US" w:eastAsia="zh-CN"/>
        </w:rPr>
        <w:t>0</w:t>
      </w:r>
      <w:r>
        <w:rPr>
          <w:rFonts w:hint="default" w:ascii="仿宋_GB2312" w:hAnsi="Times New Roman" w:eastAsia="仿宋_GB2312" w:cs="Times New Roman"/>
          <w:sz w:val="32"/>
          <w:szCs w:val="32"/>
          <w:lang w:val="en-US" w:eastAsia="zh-CN"/>
        </w:rPr>
        <w:t>万元，公务用车购置及运行维护费</w:t>
      </w:r>
      <w:r>
        <w:rPr>
          <w:rFonts w:hint="eastAsia" w:ascii="仿宋_GB2312" w:hAnsi="Times New Roman" w:eastAsia="仿宋_GB2312" w:cs="Times New Roman"/>
          <w:sz w:val="32"/>
          <w:szCs w:val="32"/>
          <w:lang w:val="en-US" w:eastAsia="zh-CN"/>
        </w:rPr>
        <w:t>1.97</w:t>
      </w:r>
      <w:r>
        <w:rPr>
          <w:rFonts w:hint="default" w:ascii="仿宋_GB2312" w:hAnsi="Times New Roman" w:eastAsia="仿宋_GB2312" w:cs="Times New Roman"/>
          <w:sz w:val="32"/>
          <w:szCs w:val="32"/>
          <w:lang w:val="en-US" w:eastAsia="zh-CN"/>
        </w:rPr>
        <w:t>万元，公务接待费</w:t>
      </w:r>
      <w:r>
        <w:rPr>
          <w:rFonts w:hint="eastAsia" w:ascii="仿宋_GB2312" w:hAnsi="Times New Roman" w:eastAsia="仿宋_GB2312" w:cs="Times New Roman"/>
          <w:sz w:val="32"/>
          <w:szCs w:val="32"/>
          <w:lang w:val="en-US" w:eastAsia="zh-CN"/>
        </w:rPr>
        <w:t>7.24</w:t>
      </w:r>
      <w:r>
        <w:rPr>
          <w:rFonts w:hint="default" w:ascii="仿宋_GB2312" w:hAnsi="Times New Roman" w:eastAsia="仿宋_GB2312" w:cs="Times New Roman"/>
          <w:sz w:val="32"/>
          <w:szCs w:val="32"/>
          <w:lang w:val="en-US" w:eastAsia="zh-CN"/>
        </w:rPr>
        <w:t>万元。“三公</w:t>
      </w:r>
      <w:r>
        <w:rPr>
          <w:rFonts w:hint="eastAsia" w:ascii="仿宋_GB2312" w:hAnsi="Times New Roman" w:eastAsia="仿宋_GB2312" w:cs="Times New Roman"/>
          <w:sz w:val="32"/>
          <w:szCs w:val="32"/>
          <w:lang w:val="en-US" w:eastAsia="zh-CN"/>
        </w:rPr>
        <w:t>”</w:t>
      </w:r>
      <w:r>
        <w:rPr>
          <w:rFonts w:hint="default" w:ascii="仿宋_GB2312" w:hAnsi="Times New Roman" w:eastAsia="仿宋_GB2312" w:cs="Times New Roman"/>
          <w:sz w:val="32"/>
          <w:szCs w:val="32"/>
          <w:lang w:val="en-US" w:eastAsia="zh-CN"/>
        </w:rPr>
        <w:t>经费决算数</w:t>
      </w:r>
      <w:r>
        <w:rPr>
          <w:rFonts w:hint="eastAsia" w:ascii="仿宋_GB2312" w:hAnsi="Times New Roman" w:eastAsia="仿宋_GB2312" w:cs="Times New Roman"/>
          <w:sz w:val="32"/>
          <w:szCs w:val="32"/>
          <w:lang w:val="en-US" w:eastAsia="zh-CN"/>
        </w:rPr>
        <w:t>9.21</w:t>
      </w:r>
      <w:r>
        <w:rPr>
          <w:rFonts w:hint="default" w:ascii="仿宋_GB2312" w:hAnsi="Times New Roman" w:eastAsia="仿宋_GB2312" w:cs="Times New Roman"/>
          <w:sz w:val="32"/>
          <w:szCs w:val="32"/>
          <w:lang w:val="en-US" w:eastAsia="zh-CN"/>
        </w:rPr>
        <w:t>元，其中：因公出国（境）费</w:t>
      </w:r>
      <w:r>
        <w:rPr>
          <w:rFonts w:hint="eastAsia" w:ascii="仿宋_GB2312" w:hAnsi="Times New Roman" w:eastAsia="仿宋_GB2312" w:cs="Times New Roman"/>
          <w:sz w:val="32"/>
          <w:szCs w:val="32"/>
          <w:lang w:val="en-US" w:eastAsia="zh-CN"/>
        </w:rPr>
        <w:t>0</w:t>
      </w:r>
      <w:r>
        <w:rPr>
          <w:rFonts w:hint="default" w:ascii="仿宋_GB2312" w:hAnsi="Times New Roman" w:eastAsia="仿宋_GB2312" w:cs="Times New Roman"/>
          <w:sz w:val="32"/>
          <w:szCs w:val="32"/>
          <w:lang w:val="en-US" w:eastAsia="zh-CN"/>
        </w:rPr>
        <w:t>万元，公务用车运行维护费</w:t>
      </w:r>
      <w:r>
        <w:rPr>
          <w:rFonts w:hint="eastAsia" w:ascii="仿宋_GB2312" w:hAnsi="Times New Roman" w:eastAsia="仿宋_GB2312" w:cs="Times New Roman"/>
          <w:sz w:val="32"/>
          <w:szCs w:val="32"/>
          <w:lang w:val="en-US" w:eastAsia="zh-CN"/>
        </w:rPr>
        <w:t>1.97</w:t>
      </w:r>
      <w:r>
        <w:rPr>
          <w:rFonts w:hint="default" w:ascii="仿宋_GB2312" w:hAnsi="Times New Roman" w:eastAsia="仿宋_GB2312" w:cs="Times New Roman"/>
          <w:sz w:val="32"/>
          <w:szCs w:val="32"/>
          <w:lang w:val="en-US" w:eastAsia="zh-CN"/>
        </w:rPr>
        <w:t>万元，公务接待费</w:t>
      </w:r>
      <w:r>
        <w:rPr>
          <w:rFonts w:hint="eastAsia" w:ascii="仿宋_GB2312" w:hAnsi="Times New Roman" w:eastAsia="仿宋_GB2312" w:cs="Times New Roman"/>
          <w:sz w:val="32"/>
          <w:szCs w:val="32"/>
          <w:lang w:val="en-US" w:eastAsia="zh-CN"/>
        </w:rPr>
        <w:t>7.24</w:t>
      </w:r>
      <w:r>
        <w:rPr>
          <w:rFonts w:hint="default" w:ascii="仿宋_GB2312" w:hAnsi="Times New Roman" w:eastAsia="仿宋_GB2312" w:cs="Times New Roman"/>
          <w:sz w:val="32"/>
          <w:szCs w:val="32"/>
          <w:lang w:val="en-US" w:eastAsia="zh-CN"/>
        </w:rPr>
        <w:t>万元。</w:t>
      </w:r>
    </w:p>
    <w:p>
      <w:pPr>
        <w:widowControl/>
        <w:spacing w:line="600" w:lineRule="exact"/>
        <w:ind w:firstLine="643" w:firstLineChars="200"/>
        <w:jc w:val="left"/>
        <w:rPr>
          <w:rFonts w:hint="default" w:ascii="仿宋_GB2312" w:hAnsi="Times New Roman" w:eastAsia="仿宋_GB2312" w:cs="Times New Roman"/>
          <w:b/>
          <w:bCs/>
          <w:sz w:val="32"/>
          <w:szCs w:val="32"/>
          <w:lang w:val="en-US" w:eastAsia="zh-CN"/>
        </w:rPr>
      </w:pPr>
      <w:r>
        <w:rPr>
          <w:rFonts w:hint="eastAsia" w:ascii="仿宋_GB2312" w:hAnsi="Times New Roman" w:eastAsia="仿宋_GB2312" w:cs="Times New Roman"/>
          <w:b/>
          <w:bCs/>
          <w:sz w:val="32"/>
          <w:szCs w:val="32"/>
          <w:lang w:val="en-US" w:eastAsia="zh-CN"/>
        </w:rPr>
        <w:t>2</w:t>
      </w:r>
      <w:r>
        <w:rPr>
          <w:rFonts w:hint="default" w:ascii="仿宋_GB2312" w:hAnsi="Times New Roman" w:eastAsia="仿宋_GB2312" w:cs="Times New Roman"/>
          <w:b/>
          <w:bCs/>
          <w:sz w:val="32"/>
          <w:szCs w:val="32"/>
          <w:lang w:val="en-US" w:eastAsia="zh-CN"/>
        </w:rPr>
        <w:t>.政府采购执行情况</w:t>
      </w:r>
    </w:p>
    <w:p>
      <w:pPr>
        <w:widowControl/>
        <w:spacing w:line="600" w:lineRule="exact"/>
        <w:ind w:firstLine="640" w:firstLineChars="200"/>
        <w:jc w:val="left"/>
        <w:rPr>
          <w:rFonts w:hint="default" w:ascii="仿宋_GB2312" w:hAnsi="Times New Roman" w:eastAsia="仿宋_GB2312" w:cs="Times New Roman"/>
          <w:sz w:val="32"/>
          <w:szCs w:val="32"/>
          <w:lang w:val="en-US" w:eastAsia="zh-CN"/>
        </w:rPr>
      </w:pPr>
      <w:r>
        <w:rPr>
          <w:rFonts w:hint="default" w:ascii="仿宋_GB2312" w:hAnsi="Times New Roman" w:eastAsia="仿宋_GB2312" w:cs="Times New Roman"/>
          <w:sz w:val="32"/>
          <w:szCs w:val="32"/>
          <w:lang w:val="en-US" w:eastAsia="zh-CN"/>
        </w:rPr>
        <w:t>2023年度政府采购支出</w:t>
      </w:r>
      <w:r>
        <w:rPr>
          <w:rFonts w:hint="eastAsia" w:ascii="仿宋_GB2312" w:hAnsi="Times New Roman" w:eastAsia="仿宋_GB2312" w:cs="Times New Roman"/>
          <w:sz w:val="32"/>
          <w:szCs w:val="32"/>
          <w:lang w:val="en-US" w:eastAsia="zh-CN"/>
        </w:rPr>
        <w:t>181</w:t>
      </w:r>
      <w:r>
        <w:rPr>
          <w:rFonts w:hint="default" w:ascii="仿宋_GB2312" w:hAnsi="Times New Roman" w:eastAsia="仿宋_GB2312" w:cs="Times New Roman"/>
          <w:sz w:val="32"/>
          <w:szCs w:val="32"/>
          <w:lang w:val="en-US" w:eastAsia="zh-CN"/>
        </w:rPr>
        <w:t>万元，其中：货物</w:t>
      </w:r>
      <w:r>
        <w:rPr>
          <w:rFonts w:hint="eastAsia" w:ascii="仿宋_GB2312" w:hAnsi="Times New Roman" w:eastAsia="仿宋_GB2312" w:cs="Times New Roman"/>
          <w:sz w:val="32"/>
          <w:szCs w:val="32"/>
          <w:lang w:val="en-US" w:eastAsia="zh-CN"/>
        </w:rPr>
        <w:t>16.38</w:t>
      </w:r>
      <w:r>
        <w:rPr>
          <w:rFonts w:hint="default" w:ascii="仿宋_GB2312" w:hAnsi="Times New Roman" w:eastAsia="仿宋_GB2312" w:cs="Times New Roman"/>
          <w:sz w:val="32"/>
          <w:szCs w:val="32"/>
          <w:lang w:val="en-US" w:eastAsia="zh-CN"/>
        </w:rPr>
        <w:t>元，工程</w:t>
      </w:r>
      <w:r>
        <w:rPr>
          <w:rFonts w:hint="eastAsia" w:ascii="仿宋_GB2312" w:hAnsi="Times New Roman" w:eastAsia="仿宋_GB2312" w:cs="Times New Roman"/>
          <w:sz w:val="32"/>
          <w:szCs w:val="32"/>
          <w:lang w:val="en-US" w:eastAsia="zh-CN"/>
        </w:rPr>
        <w:t>83.66</w:t>
      </w:r>
      <w:r>
        <w:rPr>
          <w:rFonts w:hint="default" w:ascii="仿宋_GB2312" w:hAnsi="Times New Roman" w:eastAsia="仿宋_GB2312" w:cs="Times New Roman"/>
          <w:sz w:val="32"/>
          <w:szCs w:val="32"/>
          <w:lang w:val="en-US" w:eastAsia="zh-CN"/>
        </w:rPr>
        <w:t>万元，服务</w:t>
      </w:r>
      <w:r>
        <w:rPr>
          <w:rFonts w:hint="eastAsia" w:ascii="仿宋_GB2312" w:hAnsi="Times New Roman" w:eastAsia="仿宋_GB2312" w:cs="Times New Roman"/>
          <w:sz w:val="32"/>
          <w:szCs w:val="32"/>
          <w:lang w:val="en-US" w:eastAsia="zh-CN"/>
        </w:rPr>
        <w:t>80.96</w:t>
      </w:r>
      <w:r>
        <w:rPr>
          <w:rFonts w:hint="default" w:ascii="仿宋_GB2312" w:hAnsi="Times New Roman" w:eastAsia="仿宋_GB2312" w:cs="Times New Roman"/>
          <w:sz w:val="32"/>
          <w:szCs w:val="32"/>
          <w:lang w:val="en-US" w:eastAsia="zh-CN"/>
        </w:rPr>
        <w:t>万元。</w:t>
      </w:r>
    </w:p>
    <w:p>
      <w:pPr>
        <w:widowControl/>
        <w:spacing w:line="600" w:lineRule="exact"/>
        <w:ind w:firstLine="643" w:firstLineChars="200"/>
        <w:jc w:val="left"/>
        <w:rPr>
          <w:rFonts w:hint="default" w:ascii="仿宋_GB2312" w:hAnsi="Times New Roman" w:eastAsia="仿宋_GB2312" w:cs="Times New Roman"/>
          <w:b/>
          <w:bCs/>
          <w:sz w:val="32"/>
          <w:szCs w:val="32"/>
          <w:lang w:val="en-US" w:eastAsia="zh-CN"/>
        </w:rPr>
      </w:pPr>
      <w:r>
        <w:rPr>
          <w:rFonts w:hint="eastAsia" w:ascii="仿宋_GB2312" w:hAnsi="Times New Roman" w:eastAsia="仿宋_GB2312" w:cs="Times New Roman"/>
          <w:b/>
          <w:bCs/>
          <w:sz w:val="32"/>
          <w:szCs w:val="32"/>
          <w:lang w:val="en-US" w:eastAsia="zh-CN"/>
        </w:rPr>
        <w:t>3</w:t>
      </w:r>
      <w:r>
        <w:rPr>
          <w:rFonts w:hint="default" w:ascii="仿宋_GB2312" w:hAnsi="Times New Roman" w:eastAsia="仿宋_GB2312" w:cs="Times New Roman"/>
          <w:b/>
          <w:bCs/>
          <w:sz w:val="32"/>
          <w:szCs w:val="32"/>
          <w:lang w:val="en-US" w:eastAsia="zh-CN"/>
        </w:rPr>
        <w:t>.资产管理情况</w:t>
      </w:r>
    </w:p>
    <w:p>
      <w:pPr>
        <w:widowControl/>
        <w:spacing w:line="600" w:lineRule="exact"/>
        <w:ind w:firstLine="640" w:firstLineChars="200"/>
        <w:jc w:val="left"/>
        <w:rPr>
          <w:rFonts w:hint="default" w:ascii="仿宋_GB2312" w:hAnsi="Times New Roman" w:eastAsia="仿宋_GB2312" w:cs="Times New Roman"/>
          <w:sz w:val="32"/>
          <w:szCs w:val="32"/>
          <w:lang w:val="en-US" w:eastAsia="zh-CN"/>
        </w:rPr>
      </w:pPr>
      <w:r>
        <w:rPr>
          <w:rFonts w:hint="default" w:ascii="仿宋_GB2312" w:hAnsi="Times New Roman" w:eastAsia="仿宋_GB2312" w:cs="Times New Roman"/>
          <w:sz w:val="32"/>
          <w:szCs w:val="32"/>
          <w:lang w:val="en-US" w:eastAsia="zh-CN"/>
        </w:rPr>
        <w:t>2023年年末资产总额1919</w:t>
      </w:r>
      <w:r>
        <w:rPr>
          <w:rFonts w:hint="eastAsia" w:ascii="仿宋_GB2312" w:hAnsi="Times New Roman" w:eastAsia="仿宋_GB2312" w:cs="Times New Roman"/>
          <w:sz w:val="32"/>
          <w:szCs w:val="32"/>
          <w:lang w:val="en-US" w:eastAsia="zh-CN"/>
        </w:rPr>
        <w:t>.</w:t>
      </w:r>
      <w:r>
        <w:rPr>
          <w:rFonts w:hint="default" w:ascii="仿宋_GB2312" w:hAnsi="Times New Roman" w:eastAsia="仿宋_GB2312" w:cs="Times New Roman"/>
          <w:sz w:val="32"/>
          <w:szCs w:val="32"/>
          <w:lang w:val="en-US" w:eastAsia="zh-CN"/>
        </w:rPr>
        <w:t>45万元，负债总额</w:t>
      </w:r>
      <w:r>
        <w:rPr>
          <w:rFonts w:hint="eastAsia" w:ascii="仿宋_GB2312" w:hAnsi="Times New Roman" w:eastAsia="仿宋_GB2312" w:cs="Times New Roman"/>
          <w:sz w:val="32"/>
          <w:szCs w:val="32"/>
          <w:lang w:val="en-US" w:eastAsia="zh-CN"/>
        </w:rPr>
        <w:t>357.93</w:t>
      </w:r>
      <w:r>
        <w:rPr>
          <w:rFonts w:hint="default" w:ascii="仿宋_GB2312" w:hAnsi="Times New Roman" w:eastAsia="仿宋_GB2312" w:cs="Times New Roman"/>
          <w:sz w:val="32"/>
          <w:szCs w:val="32"/>
          <w:lang w:val="en-US" w:eastAsia="zh-CN"/>
        </w:rPr>
        <w:t>万元，净资产</w:t>
      </w:r>
      <w:r>
        <w:rPr>
          <w:rFonts w:hint="eastAsia" w:ascii="仿宋_GB2312" w:hAnsi="Times New Roman" w:eastAsia="仿宋_GB2312" w:cs="Times New Roman"/>
          <w:sz w:val="32"/>
          <w:szCs w:val="32"/>
          <w:lang w:val="en-US" w:eastAsia="zh-CN"/>
        </w:rPr>
        <w:t>1561.52</w:t>
      </w:r>
      <w:r>
        <w:rPr>
          <w:rFonts w:hint="default" w:ascii="仿宋_GB2312" w:hAnsi="Times New Roman" w:eastAsia="仿宋_GB2312" w:cs="Times New Roman"/>
          <w:sz w:val="32"/>
          <w:szCs w:val="32"/>
          <w:lang w:val="en-US" w:eastAsia="zh-CN"/>
        </w:rPr>
        <w:t>万元。截至2023年12月31日，固定资产账面原值1236</w:t>
      </w:r>
      <w:r>
        <w:rPr>
          <w:rFonts w:hint="eastAsia" w:ascii="仿宋_GB2312" w:hAnsi="Times New Roman" w:eastAsia="仿宋_GB2312" w:cs="Times New Roman"/>
          <w:sz w:val="32"/>
          <w:szCs w:val="32"/>
          <w:lang w:val="en-US" w:eastAsia="zh-CN"/>
        </w:rPr>
        <w:t>.</w:t>
      </w:r>
      <w:r>
        <w:rPr>
          <w:rFonts w:hint="default" w:ascii="仿宋_GB2312" w:hAnsi="Times New Roman" w:eastAsia="仿宋_GB2312" w:cs="Times New Roman"/>
          <w:sz w:val="32"/>
          <w:szCs w:val="32"/>
          <w:lang w:val="en-US" w:eastAsia="zh-CN"/>
        </w:rPr>
        <w:t>6</w:t>
      </w:r>
      <w:r>
        <w:rPr>
          <w:rFonts w:hint="eastAsia" w:ascii="仿宋_GB2312" w:hAnsi="Times New Roman" w:eastAsia="仿宋_GB2312" w:cs="Times New Roman"/>
          <w:sz w:val="32"/>
          <w:szCs w:val="32"/>
          <w:lang w:val="en-US" w:eastAsia="zh-CN"/>
        </w:rPr>
        <w:t>6</w:t>
      </w:r>
      <w:r>
        <w:rPr>
          <w:rFonts w:hint="default" w:ascii="仿宋_GB2312" w:hAnsi="Times New Roman" w:eastAsia="仿宋_GB2312" w:cs="Times New Roman"/>
          <w:sz w:val="32"/>
          <w:szCs w:val="32"/>
          <w:lang w:val="en-US" w:eastAsia="zh-CN"/>
        </w:rPr>
        <w:t>万元，在用资产</w:t>
      </w:r>
      <w:r>
        <w:rPr>
          <w:rFonts w:hint="eastAsia" w:ascii="仿宋_GB2312" w:hAnsi="Times New Roman" w:eastAsia="仿宋_GB2312" w:cs="Times New Roman"/>
          <w:sz w:val="32"/>
          <w:szCs w:val="32"/>
          <w:lang w:val="en-US" w:eastAsia="zh-CN"/>
        </w:rPr>
        <w:t>1168.20</w:t>
      </w:r>
      <w:r>
        <w:rPr>
          <w:rFonts w:hint="default" w:ascii="仿宋_GB2312" w:hAnsi="Times New Roman" w:eastAsia="仿宋_GB2312" w:cs="Times New Roman"/>
          <w:sz w:val="32"/>
          <w:szCs w:val="32"/>
          <w:lang w:val="en-US" w:eastAsia="zh-CN"/>
        </w:rPr>
        <w:t>万元，资产使用率</w:t>
      </w:r>
      <w:r>
        <w:rPr>
          <w:rFonts w:hint="eastAsia" w:ascii="仿宋_GB2312" w:hAnsi="Times New Roman" w:eastAsia="仿宋_GB2312" w:cs="Times New Roman"/>
          <w:sz w:val="32"/>
          <w:szCs w:val="32"/>
          <w:lang w:val="en-US" w:eastAsia="zh-CN"/>
        </w:rPr>
        <w:t>94.46</w:t>
      </w:r>
      <w:r>
        <w:rPr>
          <w:rFonts w:hint="default" w:ascii="仿宋_GB2312" w:hAnsi="Times New Roman" w:eastAsia="仿宋_GB2312" w:cs="Times New Roman"/>
          <w:sz w:val="32"/>
          <w:szCs w:val="32"/>
          <w:lang w:val="en-US" w:eastAsia="zh-CN"/>
        </w:rPr>
        <w:t>%。</w:t>
      </w:r>
    </w:p>
    <w:p>
      <w:pPr>
        <w:pStyle w:val="9"/>
        <w:widowControl/>
        <w:spacing w:line="600" w:lineRule="exact"/>
        <w:ind w:left="640" w:firstLine="0" w:firstLineChars="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三、部门整体支出绩效情况</w:t>
      </w:r>
    </w:p>
    <w:p>
      <w:pPr>
        <w:widowControl/>
        <w:spacing w:line="600" w:lineRule="exact"/>
        <w:ind w:firstLine="643" w:firstLineChars="200"/>
        <w:jc w:val="left"/>
        <w:rPr>
          <w:rFonts w:hint="default" w:ascii="仿宋_GB2312" w:hAnsi="Times New Roman" w:eastAsia="仿宋_GB2312" w:cs="Times New Roman"/>
          <w:b/>
          <w:bCs/>
          <w:sz w:val="32"/>
          <w:szCs w:val="32"/>
          <w:lang w:val="en-US" w:eastAsia="zh-CN"/>
        </w:rPr>
      </w:pPr>
      <w:r>
        <w:rPr>
          <w:rFonts w:hint="default" w:ascii="仿宋_GB2312" w:hAnsi="Times New Roman" w:eastAsia="仿宋_GB2312" w:cs="Times New Roman"/>
          <w:b/>
          <w:bCs/>
          <w:sz w:val="32"/>
          <w:szCs w:val="32"/>
          <w:lang w:val="en-US" w:eastAsia="zh-CN"/>
        </w:rPr>
        <w:t>（一）综合评价结论。反映自评得分及评价等级。</w:t>
      </w:r>
    </w:p>
    <w:p>
      <w:pPr>
        <w:widowControl/>
        <w:spacing w:line="600" w:lineRule="exact"/>
        <w:ind w:firstLine="640" w:firstLineChars="200"/>
        <w:jc w:val="left"/>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2023年对照《溪江乡人民政府2023年度部门整体支出绩效评价指标评分表》等方面具体指标综合评分，得分为98分，综合评价等级分为优秀。</w:t>
      </w:r>
    </w:p>
    <w:p>
      <w:pPr>
        <w:widowControl/>
        <w:spacing w:line="600" w:lineRule="exact"/>
        <w:ind w:firstLine="643" w:firstLineChars="200"/>
        <w:jc w:val="left"/>
        <w:rPr>
          <w:rFonts w:hint="default" w:ascii="仿宋_GB2312" w:hAnsi="Times New Roman" w:eastAsia="仿宋_GB2312" w:cs="Times New Roman"/>
          <w:b/>
          <w:bCs/>
          <w:sz w:val="32"/>
          <w:szCs w:val="32"/>
          <w:lang w:val="en-US" w:eastAsia="zh-CN"/>
        </w:rPr>
      </w:pPr>
      <w:r>
        <w:rPr>
          <w:rFonts w:hint="default" w:ascii="仿宋_GB2312" w:hAnsi="Times New Roman" w:eastAsia="仿宋_GB2312" w:cs="Times New Roman"/>
          <w:b/>
          <w:bCs/>
          <w:sz w:val="32"/>
          <w:szCs w:val="32"/>
          <w:lang w:val="en-US" w:eastAsia="zh-CN"/>
        </w:rPr>
        <w:t>（</w:t>
      </w:r>
      <w:r>
        <w:rPr>
          <w:rFonts w:hint="eastAsia" w:ascii="仿宋_GB2312" w:hAnsi="Times New Roman" w:eastAsia="仿宋_GB2312" w:cs="Times New Roman"/>
          <w:b/>
          <w:bCs/>
          <w:sz w:val="32"/>
          <w:szCs w:val="32"/>
          <w:lang w:val="en-US" w:eastAsia="zh-CN"/>
        </w:rPr>
        <w:t>二</w:t>
      </w:r>
      <w:r>
        <w:rPr>
          <w:rFonts w:hint="default" w:ascii="仿宋_GB2312" w:hAnsi="Times New Roman" w:eastAsia="仿宋_GB2312" w:cs="Times New Roman"/>
          <w:b/>
          <w:bCs/>
          <w:sz w:val="32"/>
          <w:szCs w:val="32"/>
          <w:lang w:val="en-US" w:eastAsia="zh-CN"/>
        </w:rPr>
        <w:t>）评价指标分析（或综合评价情况）。</w:t>
      </w:r>
    </w:p>
    <w:p>
      <w:pPr>
        <w:widowControl/>
        <w:spacing w:line="600" w:lineRule="exact"/>
        <w:ind w:firstLine="640" w:firstLineChars="200"/>
        <w:jc w:val="left"/>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1、年度资金总额分析情况：2023年度本部门收入决算数</w:t>
      </w:r>
      <w:r>
        <w:rPr>
          <w:rFonts w:hint="default" w:ascii="仿宋_GB2312" w:hAnsi="Times New Roman" w:eastAsia="仿宋_GB2312" w:cs="Times New Roman"/>
          <w:sz w:val="32"/>
          <w:szCs w:val="32"/>
          <w:lang w:val="en-US" w:eastAsia="zh-CN"/>
        </w:rPr>
        <w:t>3720.18</w:t>
      </w:r>
      <w:r>
        <w:rPr>
          <w:rFonts w:hint="eastAsia" w:ascii="仿宋_GB2312" w:hAnsi="Times New Roman" w:eastAsia="仿宋_GB2312" w:cs="Times New Roman"/>
          <w:sz w:val="32"/>
          <w:szCs w:val="32"/>
          <w:lang w:val="en-US" w:eastAsia="zh-CN"/>
        </w:rPr>
        <w:t>万元，其中财政拨款收入1815.88万元，其他收入1904.30万元。本部门预算数1279.27万元，预算执行率大于100%，分值满分为10分，该项指标得分10分。</w:t>
      </w:r>
    </w:p>
    <w:p>
      <w:pPr>
        <w:widowControl/>
        <w:spacing w:line="600" w:lineRule="exact"/>
        <w:ind w:firstLine="640" w:firstLineChars="200"/>
        <w:jc w:val="left"/>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2、产出指标总分为40分，得分38分。</w:t>
      </w:r>
    </w:p>
    <w:p>
      <w:pPr>
        <w:widowControl/>
        <w:spacing w:line="600" w:lineRule="exact"/>
        <w:ind w:firstLine="640" w:firstLineChars="200"/>
        <w:jc w:val="left"/>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（1）数量指标2个均完成指标值。完成17个村（社区）数灾害防治、森林防火、安全生产知识培训；按月支付工资及政策性社会保障性资金12次；</w:t>
      </w:r>
    </w:p>
    <w:p>
      <w:pPr>
        <w:widowControl/>
        <w:spacing w:line="600" w:lineRule="exact"/>
        <w:ind w:firstLine="640" w:firstLineChars="200"/>
        <w:jc w:val="left"/>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（2）质量指标完成1个指标值。工资津贴发放率100%；惠民惠农资金未100%准确及时发放到户；</w:t>
      </w:r>
    </w:p>
    <w:p>
      <w:pPr>
        <w:widowControl/>
        <w:spacing w:line="600" w:lineRule="exact"/>
        <w:ind w:firstLine="640" w:firstLineChars="200"/>
        <w:jc w:val="left"/>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该项指标扣分2分，造成未及时发放到位原因为惠民惠农补贴发放对象信息受交通等因素影响无法及时变更。改善措施：加强与村（社区）委会的沟通，及时变更补贴发放对象信息。</w:t>
      </w:r>
    </w:p>
    <w:p>
      <w:pPr>
        <w:widowControl/>
        <w:spacing w:line="600" w:lineRule="exact"/>
        <w:ind w:firstLine="640" w:firstLineChars="200"/>
        <w:jc w:val="left"/>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时效指标1个已完成指标值。重点工作按时办结100%。</w:t>
      </w:r>
    </w:p>
    <w:p>
      <w:pPr>
        <w:widowControl/>
        <w:spacing w:line="600" w:lineRule="exact"/>
        <w:ind w:firstLine="640" w:firstLineChars="200"/>
        <w:jc w:val="left"/>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3、效益指标总分20分，得分20分。</w:t>
      </w:r>
    </w:p>
    <w:p>
      <w:pPr>
        <w:widowControl/>
        <w:spacing w:line="600" w:lineRule="exact"/>
        <w:ind w:firstLine="640" w:firstLineChars="200"/>
        <w:jc w:val="left"/>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（1）经济效益指标2个均已完成指标值。2023年我乡人、畜、作物死亡率较上年有所下降；农民收入水平较去年有所提升。</w:t>
      </w:r>
    </w:p>
    <w:p>
      <w:pPr>
        <w:widowControl/>
        <w:spacing w:line="600" w:lineRule="exact"/>
        <w:ind w:firstLine="640" w:firstLineChars="200"/>
        <w:jc w:val="left"/>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（2）社会效益指标3个均已完成指标值。基础民生有所保障；道路基础设施建设有所优化；社会安定和谐。</w:t>
      </w:r>
    </w:p>
    <w:p>
      <w:pPr>
        <w:widowControl/>
        <w:spacing w:line="600" w:lineRule="exact"/>
        <w:ind w:firstLine="640" w:firstLineChars="200"/>
        <w:jc w:val="left"/>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（3）生态效益指标1个已完成指标值。生态文明有所提升。</w:t>
      </w:r>
    </w:p>
    <w:p>
      <w:pPr>
        <w:widowControl/>
        <w:spacing w:line="600" w:lineRule="exact"/>
        <w:ind w:firstLine="640" w:firstLineChars="200"/>
        <w:jc w:val="left"/>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（4）可持续影响指标1个已完成指标值。民众思想文化素养有所提高，文明环境建设有所加强。</w:t>
      </w:r>
    </w:p>
    <w:p>
      <w:pPr>
        <w:widowControl/>
        <w:spacing w:line="600" w:lineRule="exact"/>
        <w:ind w:firstLine="640" w:firstLineChars="200"/>
        <w:jc w:val="left"/>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4、满意度指标总分为10分，得分10分。在2023年度工作中，我乡坚持“以民为本”的工作理念，干部职工满意度98%，社会公众或服务对象满意度98%，均已完成指标值</w:t>
      </w:r>
    </w:p>
    <w:p>
      <w:pPr>
        <w:widowControl/>
        <w:spacing w:line="600" w:lineRule="exact"/>
        <w:ind w:firstLine="640" w:firstLineChars="200"/>
        <w:jc w:val="left"/>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5、成本指标2个已完成指标值。各项业务经费及三公经费未超出预算，未超支审批。</w:t>
      </w:r>
    </w:p>
    <w:p>
      <w:pPr>
        <w:pStyle w:val="9"/>
        <w:widowControl/>
        <w:spacing w:line="600" w:lineRule="exact"/>
        <w:ind w:left="640" w:firstLine="0" w:firstLineChars="0"/>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四</w:t>
      </w:r>
      <w:r>
        <w:rPr>
          <w:rFonts w:hint="default" w:ascii="Times New Roman" w:hAnsi="Times New Roman" w:eastAsia="黑体" w:cs="Times New Roman"/>
          <w:sz w:val="32"/>
          <w:szCs w:val="32"/>
          <w:lang w:val="en-US" w:eastAsia="zh-CN"/>
        </w:rPr>
        <w:t>、项目绩效目标完成情况</w:t>
      </w:r>
    </w:p>
    <w:p>
      <w:pPr>
        <w:widowControl/>
        <w:spacing w:line="600" w:lineRule="exact"/>
        <w:ind w:firstLine="640" w:firstLineChars="200"/>
        <w:jc w:val="left"/>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无</w:t>
      </w:r>
    </w:p>
    <w:p>
      <w:pPr>
        <w:pStyle w:val="9"/>
        <w:widowControl/>
        <w:spacing w:line="600" w:lineRule="exact"/>
        <w:ind w:left="640" w:firstLine="0" w:firstLineChars="0"/>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五、</w:t>
      </w:r>
      <w:r>
        <w:rPr>
          <w:rFonts w:hint="default" w:ascii="Times New Roman" w:hAnsi="Times New Roman" w:eastAsia="黑体" w:cs="Times New Roman"/>
          <w:sz w:val="32"/>
          <w:szCs w:val="32"/>
          <w:lang w:val="en-US" w:eastAsia="zh-CN"/>
        </w:rPr>
        <w:t>存在问题原因分析</w:t>
      </w:r>
      <w:r>
        <w:rPr>
          <w:rFonts w:hint="eastAsia" w:ascii="Times New Roman" w:hAnsi="Times New Roman" w:eastAsia="黑体" w:cs="Times New Roman"/>
          <w:sz w:val="32"/>
          <w:szCs w:val="32"/>
          <w:lang w:val="en-US" w:eastAsia="zh-CN"/>
        </w:rPr>
        <w:t>及</w:t>
      </w:r>
      <w:r>
        <w:rPr>
          <w:rFonts w:hint="default" w:ascii="Times New Roman" w:hAnsi="Times New Roman" w:eastAsia="黑体" w:cs="Times New Roman"/>
          <w:sz w:val="32"/>
          <w:szCs w:val="32"/>
          <w:lang w:val="en-US" w:eastAsia="zh-CN"/>
        </w:rPr>
        <w:t>改进措施</w:t>
      </w:r>
    </w:p>
    <w:p>
      <w:pPr>
        <w:widowControl/>
        <w:spacing w:line="600" w:lineRule="exact"/>
        <w:ind w:firstLine="640" w:firstLineChars="200"/>
        <w:jc w:val="left"/>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1、预算编制不够明确和细化，预算编制的合理性需要提高，预算执行力度还要进一步加强。资金使用效益有待进一步提高，绩效目标设立不够明确、细化和量化。</w:t>
      </w:r>
    </w:p>
    <w:p>
      <w:pPr>
        <w:widowControl/>
        <w:spacing w:line="600" w:lineRule="exact"/>
        <w:ind w:firstLine="640" w:firstLineChars="200"/>
        <w:jc w:val="left"/>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lang w:val="en" w:eastAsia="zh-CN"/>
        </w:rPr>
        <w:t>财务制度方面不够规范，</w:t>
      </w:r>
      <w:r>
        <w:rPr>
          <w:rFonts w:hint="eastAsia" w:ascii="仿宋_GB2312" w:hAnsi="Times New Roman" w:eastAsia="仿宋_GB2312" w:cs="Times New Roman"/>
          <w:sz w:val="32"/>
          <w:szCs w:val="32"/>
          <w:lang w:val="en-US" w:eastAsia="zh-CN"/>
        </w:rPr>
        <w:t>没有建立健全完善的机制体系，对绩效评价认识不足。</w:t>
      </w:r>
    </w:p>
    <w:p>
      <w:pPr>
        <w:widowControl/>
        <w:spacing w:line="600" w:lineRule="exact"/>
        <w:ind w:firstLine="640" w:firstLineChars="200"/>
        <w:jc w:val="left"/>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3、人员素质有待提高。由于人员变动，单位对相关绩效管理业务不熟练，加上缺乏系统的培训，业务操作水平有限。</w:t>
      </w:r>
    </w:p>
    <w:p>
      <w:pPr>
        <w:pStyle w:val="9"/>
        <w:widowControl/>
        <w:spacing w:line="600" w:lineRule="exact"/>
        <w:ind w:left="640" w:firstLine="0" w:firstLineChars="0"/>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六、</w:t>
      </w:r>
      <w:r>
        <w:rPr>
          <w:rFonts w:hint="default" w:ascii="Times New Roman" w:hAnsi="Times New Roman" w:eastAsia="黑体" w:cs="Times New Roman"/>
          <w:sz w:val="32"/>
          <w:szCs w:val="32"/>
          <w:lang w:val="en-US" w:eastAsia="zh-CN"/>
        </w:rPr>
        <w:t>其他需要说明的情况</w:t>
      </w:r>
    </w:p>
    <w:p>
      <w:pPr>
        <w:widowControl/>
        <w:spacing w:line="600" w:lineRule="exact"/>
        <w:ind w:firstLine="640" w:firstLineChars="200"/>
        <w:jc w:val="left"/>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无</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413E1D"/>
    <w:multiLevelType w:val="singleLevel"/>
    <w:tmpl w:val="57413E1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hMjdkNzRhZWY4MmRlOWFiMzJjNWE1Y2IyMjYzNjAifQ=="/>
  </w:docVars>
  <w:rsids>
    <w:rsidRoot w:val="4C43681B"/>
    <w:rsid w:val="02D67969"/>
    <w:rsid w:val="068B5B47"/>
    <w:rsid w:val="09146FE7"/>
    <w:rsid w:val="11D42FAF"/>
    <w:rsid w:val="16E025D9"/>
    <w:rsid w:val="1A086B2F"/>
    <w:rsid w:val="1DE275E2"/>
    <w:rsid w:val="1DEF1689"/>
    <w:rsid w:val="1E6E543A"/>
    <w:rsid w:val="22155519"/>
    <w:rsid w:val="223165BD"/>
    <w:rsid w:val="22674BBC"/>
    <w:rsid w:val="25B739C8"/>
    <w:rsid w:val="27DA3663"/>
    <w:rsid w:val="2A2A1053"/>
    <w:rsid w:val="2A6D41ED"/>
    <w:rsid w:val="2B854A2B"/>
    <w:rsid w:val="2BDB7330"/>
    <w:rsid w:val="34A72A00"/>
    <w:rsid w:val="3C0B6651"/>
    <w:rsid w:val="3D0160AB"/>
    <w:rsid w:val="3E2D187A"/>
    <w:rsid w:val="4B516A6F"/>
    <w:rsid w:val="4C43681B"/>
    <w:rsid w:val="4C923160"/>
    <w:rsid w:val="4E54656B"/>
    <w:rsid w:val="515651ED"/>
    <w:rsid w:val="519A5C81"/>
    <w:rsid w:val="55944FFF"/>
    <w:rsid w:val="58EA42F7"/>
    <w:rsid w:val="592917C1"/>
    <w:rsid w:val="5DDF7AE8"/>
    <w:rsid w:val="60067FC1"/>
    <w:rsid w:val="60A52F4C"/>
    <w:rsid w:val="6778080A"/>
    <w:rsid w:val="687115B5"/>
    <w:rsid w:val="6C2E7CD3"/>
    <w:rsid w:val="6CB461FC"/>
    <w:rsid w:val="6DC431FB"/>
    <w:rsid w:val="776C076D"/>
    <w:rsid w:val="7B88713B"/>
    <w:rsid w:val="7FA14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3"/>
    <w:next w:val="3"/>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outlineLvl w:val="0"/>
    </w:pPr>
    <w:rPr>
      <w:rFonts w:ascii="微软雅黑" w:hAnsi="微软雅黑" w:eastAsia="微软雅黑" w:cs="微软雅黑"/>
      <w:b/>
      <w:kern w:val="44"/>
      <w:sz w:val="24"/>
      <w:szCs w:val="24"/>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First Indent"/>
    <w:basedOn w:val="4"/>
    <w:qFormat/>
    <w:uiPriority w:val="0"/>
    <w:pPr>
      <w:adjustRightInd w:val="0"/>
      <w:snapToGrid w:val="0"/>
      <w:spacing w:beforeLines="50" w:after="0" w:line="360" w:lineRule="auto"/>
      <w:ind w:firstLine="200" w:firstLineChars="200"/>
    </w:pPr>
    <w:rPr>
      <w:rFonts w:ascii="Times New Roman" w:hAnsi="Times New Roman"/>
      <w:sz w:val="24"/>
      <w:szCs w:val="24"/>
    </w:rPr>
  </w:style>
  <w:style w:type="paragraph" w:styleId="4">
    <w:name w:val="Body Text"/>
    <w:basedOn w:val="1"/>
    <w:unhideWhenUsed/>
    <w:qFormat/>
    <w:uiPriority w:val="99"/>
    <w:pPr>
      <w:ind w:left="120"/>
    </w:pPr>
    <w:rPr>
      <w:rFonts w:ascii="仿宋" w:hAnsi="仿宋" w:eastAsia="仿宋" w:cs="仿宋"/>
      <w:sz w:val="32"/>
      <w:szCs w:val="32"/>
      <w:lang w:val="zh-CN" w:bidi="zh-C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9">
    <w:name w:val="List Paragraph"/>
    <w:basedOn w:val="1"/>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2024-03-05T00:23:00Z</dcterms:created>
  <dc:creator>Administrator</dc:creator>
  <cp:lastModifiedBy>Administrator</cp:lastModifiedBy>
  <cp:lastPrinted>2024-04-28T03:33:40Z</cp:lastPrinted>
  <dcterms:modified xsi:type="dcterms:W3CDTF">2024-04-28T03:33:49Z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8A44D2C0D2374C62BD4A5147F419C54F_13</vt:lpwstr>
  </property>
</Properties>
</file>