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313" w:rightChars="-149"/>
        <w:rPr>
          <w:rFonts w:hint="eastAsia" w:ascii="仿宋_GB2312" w:eastAsia="仿宋_GB2312"/>
          <w:sz w:val="32"/>
          <w:szCs w:val="32"/>
        </w:rPr>
      </w:pPr>
    </w:p>
    <w:p>
      <w:pPr>
        <w:jc w:val="center"/>
        <w:rPr>
          <w:rFonts w:hint="eastAsia" w:ascii="方正小标宋_GBK" w:eastAsia="方正小标宋_GBK"/>
          <w:color w:val="FF0000"/>
          <w:sz w:val="109"/>
          <w:lang w:val="en-US" w:eastAsia="zh-CN"/>
        </w:rPr>
      </w:pPr>
      <w:r>
        <w:rPr>
          <w:rFonts w:hint="eastAsia" w:ascii="方正小标宋_GBK" w:eastAsia="方正小标宋_GBK"/>
          <w:color w:val="FF0000"/>
          <w:spacing w:val="115"/>
          <w:w w:val="50"/>
          <w:kern w:val="0"/>
          <w:sz w:val="109"/>
        </w:rPr>
        <w:t>衡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</w:rPr>
        <w:t>阳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val="en-US" w:eastAsia="zh-CN"/>
        </w:rPr>
        <w:t xml:space="preserve"> 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</w:rPr>
        <w:t>县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val="en-US" w:eastAsia="zh-CN"/>
        </w:rPr>
        <w:t xml:space="preserve"> 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eastAsia="zh-CN"/>
        </w:rPr>
        <w:t>井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val="en-US" w:eastAsia="zh-CN"/>
        </w:rPr>
        <w:t xml:space="preserve"> 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eastAsia="zh-CN"/>
        </w:rPr>
        <w:t>头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val="en-US" w:eastAsia="zh-CN"/>
        </w:rPr>
        <w:t xml:space="preserve"> 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eastAsia="zh-CN"/>
        </w:rPr>
        <w:t>镇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val="en-US" w:eastAsia="zh-CN"/>
        </w:rPr>
        <w:t xml:space="preserve"> 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eastAsia="zh-CN"/>
        </w:rPr>
        <w:t>人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val="en-US" w:eastAsia="zh-CN"/>
        </w:rPr>
        <w:t xml:space="preserve"> 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eastAsia="zh-CN"/>
        </w:rPr>
        <w:t>民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val="en-US" w:eastAsia="zh-CN"/>
        </w:rPr>
        <w:t xml:space="preserve"> 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eastAsia="zh-CN"/>
        </w:rPr>
        <w:t>政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val="en-US" w:eastAsia="zh-CN"/>
        </w:rPr>
        <w:t xml:space="preserve"> 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eastAsia="zh-CN"/>
        </w:rPr>
        <w:t>府</w:t>
      </w:r>
    </w:p>
    <w:p>
      <w:pPr>
        <w:rPr>
          <w:rFonts w:hint="default" w:ascii="Times New Roman" w:hAnsi="Times New Roman" w:cs="Times New Roman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8255</wp:posOffset>
                </wp:positionV>
                <wp:extent cx="5257800" cy="0"/>
                <wp:effectExtent l="0" t="13970" r="0" b="2413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65pt;margin-top:0.65pt;height:0pt;width:414pt;z-index:251659264;mso-width-relative:page;mso-height-relative:page;" filled="f" stroked="t" coordsize="21600,21600" o:gfxdata="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WNiLFdEAAAAFAQAADwAAAAAAAAABACAAAAAiAAAAZHJzL2Rvd25yZXYueG1sUEsBAhQAFAAA&#10;AAgAh07iQBwn3gL2AQAA5QMAAA4AAAAAAAAAAQAgAAAAIAEAAGRycy9lMm9Eb2MueG1sUEsFBgAA&#10;AAAGAAYAWQEAAIgFAAAAAA=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sz w:val="36"/>
          <w:szCs w:val="36"/>
        </w:rPr>
        <w:t>部门整体支出绩效自评报告</w:t>
      </w:r>
    </w:p>
    <w:p>
      <w:pPr>
        <w:spacing w:line="60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9"/>
        <w:widowControl/>
        <w:spacing w:line="600" w:lineRule="exact"/>
        <w:ind w:left="640" w:firstLine="0" w:firstLineChars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一、部门、单位基本情况</w:t>
      </w:r>
    </w:p>
    <w:p>
      <w:pPr>
        <w:pStyle w:val="9"/>
        <w:widowControl/>
        <w:spacing w:line="600" w:lineRule="exact"/>
        <w:ind w:left="64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（一）机构设置情况</w:t>
      </w:r>
    </w:p>
    <w:p>
      <w:pPr>
        <w:pStyle w:val="9"/>
        <w:widowControl/>
        <w:spacing w:line="600" w:lineRule="exact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" w:eastAsia="zh-CN"/>
        </w:rPr>
        <w:t>根据职责，我镇内设机构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eastAsia" w:ascii="仿宋_GB2312" w:hAnsi="Times New Roman" w:eastAsia="仿宋_GB2312" w:cs="Times New Roman"/>
          <w:sz w:val="32"/>
          <w:szCs w:val="32"/>
          <w:lang w:val="en" w:eastAsia="zh-CN"/>
        </w:rPr>
        <w:t>个，所属事业单位3中心1大队。内设机构是党政综合办公室、经济发展办公室、社会事务办公室、自然资源和生态环境办公室、社会治安综合治理和应急管理办公室、基层党建工作办公室；所属事业单位分别是社会事业综合服务中心、农业综合服务中心、政务服务中心、综合行政执法大队。</w:t>
      </w:r>
    </w:p>
    <w:p>
      <w:pPr>
        <w:pStyle w:val="9"/>
        <w:widowControl/>
        <w:numPr>
          <w:ilvl w:val="0"/>
          <w:numId w:val="1"/>
        </w:numPr>
        <w:spacing w:line="600" w:lineRule="exact"/>
        <w:ind w:left="64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人员编制情况</w:t>
      </w:r>
    </w:p>
    <w:p>
      <w:pPr>
        <w:widowControl/>
        <w:spacing w:line="600" w:lineRule="exact"/>
        <w:ind w:firstLine="640" w:firstLineChars="200"/>
        <w:jc w:val="left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" w:eastAsia="zh-CN"/>
        </w:rPr>
        <w:t>我镇核定编制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143</w:t>
      </w:r>
      <w:r>
        <w:rPr>
          <w:rFonts w:hint="eastAsia" w:ascii="仿宋_GB2312" w:hAnsi="Times New Roman" w:eastAsia="仿宋_GB2312" w:cs="Times New Roman"/>
          <w:sz w:val="32"/>
          <w:szCs w:val="32"/>
          <w:lang w:val="en" w:eastAsia="zh-CN"/>
        </w:rPr>
        <w:t>名，其中：行政编制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52</w:t>
      </w:r>
      <w:r>
        <w:rPr>
          <w:rFonts w:hint="eastAsia" w:ascii="仿宋_GB2312" w:hAnsi="Times New Roman" w:eastAsia="仿宋_GB2312" w:cs="Times New Roman"/>
          <w:sz w:val="32"/>
          <w:szCs w:val="32"/>
          <w:lang w:val="en" w:eastAsia="zh-CN"/>
        </w:rPr>
        <w:t>名，实有在职人员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37</w:t>
      </w:r>
      <w:r>
        <w:rPr>
          <w:rFonts w:hint="eastAsia" w:ascii="仿宋_GB2312" w:hAnsi="Times New Roman" w:eastAsia="仿宋_GB2312" w:cs="Times New Roman"/>
          <w:sz w:val="32"/>
          <w:szCs w:val="32"/>
          <w:lang w:val="en" w:eastAsia="zh-CN"/>
        </w:rPr>
        <w:t>人；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工勤编制3名，实有在职人数2人；</w:t>
      </w:r>
      <w:r>
        <w:rPr>
          <w:rFonts w:hint="eastAsia" w:ascii="仿宋_GB2312" w:hAnsi="Times New Roman" w:eastAsia="仿宋_GB2312" w:cs="Times New Roman"/>
          <w:sz w:val="32"/>
          <w:szCs w:val="32"/>
          <w:lang w:val="en" w:eastAsia="zh-CN"/>
        </w:rPr>
        <w:t>事业编制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88</w:t>
      </w:r>
      <w:r>
        <w:rPr>
          <w:rFonts w:hint="eastAsia" w:ascii="仿宋_GB2312" w:hAnsi="Times New Roman" w:eastAsia="仿宋_GB2312" w:cs="Times New Roman"/>
          <w:sz w:val="32"/>
          <w:szCs w:val="32"/>
          <w:lang w:val="en" w:eastAsia="zh-CN"/>
        </w:rPr>
        <w:t>名，实有在职人员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62</w:t>
      </w:r>
      <w:r>
        <w:rPr>
          <w:rFonts w:hint="eastAsia" w:ascii="仿宋_GB2312" w:hAnsi="Times New Roman" w:eastAsia="仿宋_GB2312" w:cs="Times New Roman"/>
          <w:sz w:val="32"/>
          <w:szCs w:val="32"/>
          <w:lang w:val="en" w:eastAsia="zh-CN"/>
        </w:rPr>
        <w:t>人；退休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66</w:t>
      </w:r>
      <w:r>
        <w:rPr>
          <w:rFonts w:hint="eastAsia" w:ascii="仿宋_GB2312" w:hAnsi="Times New Roman" w:eastAsia="仿宋_GB2312" w:cs="Times New Roman"/>
          <w:sz w:val="32"/>
          <w:szCs w:val="32"/>
          <w:lang w:val="en" w:eastAsia="zh-CN"/>
        </w:rPr>
        <w:t>人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pStyle w:val="9"/>
        <w:widowControl/>
        <w:spacing w:line="600" w:lineRule="exact"/>
        <w:ind w:left="640" w:firstLine="0" w:firstLineChars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二、预算支出情况</w:t>
      </w:r>
    </w:p>
    <w:p>
      <w:pPr>
        <w:pStyle w:val="9"/>
        <w:widowControl/>
        <w:spacing w:line="600" w:lineRule="exact"/>
        <w:ind w:left="64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</w:t>
      </w:r>
      <w:r>
        <w:rPr>
          <w:rFonts w:hint="eastAsia" w:eastAsia="楷体_GB2312" w:cs="Times New Roman"/>
          <w:sz w:val="32"/>
          <w:szCs w:val="32"/>
          <w:lang w:eastAsia="zh-CN"/>
        </w:rPr>
        <w:t>部门</w:t>
      </w:r>
      <w:r>
        <w:rPr>
          <w:rFonts w:hint="default" w:ascii="Times New Roman" w:hAnsi="Times New Roman" w:eastAsia="楷体_GB2312" w:cs="Times New Roman"/>
          <w:sz w:val="32"/>
          <w:szCs w:val="32"/>
        </w:rPr>
        <w:t>预决算情况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1.部门预算情况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2023年年初预算安排收入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2532.08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万元，其中一般公共财政拨款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1855.69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年初结转和结余676.40万元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；2023年年初预算安排支出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2532.08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其中：基本支出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1180.84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万元，项目支出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1423.24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2.部门决算情况（含年中预算追加情况）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2023年决算总收入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3672.45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万元，较预算增加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1140.37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万元，总支出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3672.45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万元，其中：基本支出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3291.35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万元，占总支出的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89.62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％；项目支出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381.10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万元，占总支出的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10.38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％。差异产生的主要原因是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年中指标调整，增加了预算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  <w:t>（二）部门预算执行情况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经费执行情况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经费预算数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11.18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万元，其中：因公出国（境）费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万元，公务用车购置及运行维护费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1.97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万元，公务接待费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9.21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经费决算数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11.18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元，其中：因公出国（境）费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万元，公务用车运行维护费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1.97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万元，公务接待费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9.21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.政府采购执行情况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2023年度政府采购支出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362.15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万元，其中：货物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93.85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元，工程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141.90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万元，服务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126.40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.资产管理情况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2023年年末资产总额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1180.99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万元，负债总额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488.05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万元，净资产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692.94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万元。截至2023年12月31日，固定资产账面原值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446.24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万元，在用资产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446.24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万元，资产使用率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%。</w:t>
      </w:r>
    </w:p>
    <w:p>
      <w:pPr>
        <w:widowControl/>
        <w:spacing w:line="600" w:lineRule="exact"/>
        <w:ind w:firstLine="645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三、部门整体支出绩效情况</w:t>
      </w:r>
    </w:p>
    <w:p>
      <w:pPr>
        <w:pStyle w:val="9"/>
        <w:widowControl/>
        <w:numPr>
          <w:ilvl w:val="0"/>
          <w:numId w:val="0"/>
        </w:numPr>
        <w:spacing w:line="600" w:lineRule="exact"/>
        <w:ind w:firstLine="640" w:firstLineChars="200"/>
        <w:rPr>
          <w:rFonts w:hint="default" w:ascii="Times New Roman" w:hAnsi="Times New Roman" w:eastAsia="楷体_GB2312" w:cs="Times New Roman"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Cs/>
          <w:sz w:val="32"/>
          <w:szCs w:val="32"/>
        </w:rPr>
        <w:t>（一）综合评价结论。</w:t>
      </w:r>
    </w:p>
    <w:p>
      <w:pPr>
        <w:pStyle w:val="9"/>
        <w:widowControl/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2023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年对照《井头镇人民政府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2023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年度部门整体支出绩效评价指标评分表》等方面具体指标综合评分，得分为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94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分，综合评价等级分为优秀。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40" w:leftChars="0" w:firstLine="0" w:firstLineChars="0"/>
        <w:textAlignment w:val="auto"/>
        <w:rPr>
          <w:rFonts w:hint="default" w:ascii="Times New Roman" w:hAnsi="Times New Roman" w:eastAsia="楷体_GB2312" w:cs="Times New Roman"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Cs/>
          <w:sz w:val="32"/>
          <w:szCs w:val="32"/>
        </w:rPr>
        <w:t>评价指标分析。</w:t>
      </w:r>
    </w:p>
    <w:p>
      <w:pPr>
        <w:pStyle w:val="9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40" w:leftChars="0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1.</w:t>
      </w:r>
      <w:r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部门资金情况总分10分，得分10分。</w:t>
      </w:r>
    </w:p>
    <w:p>
      <w:pPr>
        <w:pStyle w:val="9"/>
        <w:widowControl/>
        <w:numPr>
          <w:ilvl w:val="0"/>
          <w:numId w:val="0"/>
        </w:numPr>
        <w:spacing w:line="600" w:lineRule="exact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年度资金金额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3672.45</w:t>
      </w:r>
      <w:r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万元，执行率为100%。</w:t>
      </w:r>
    </w:p>
    <w:p>
      <w:pPr>
        <w:pStyle w:val="9"/>
        <w:widowControl/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产出指标总分为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0分，得分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40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分。</w:t>
      </w:r>
    </w:p>
    <w:p>
      <w:pPr>
        <w:widowControl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（1）数量指标3个均完成指标值。落实32个村（社区）数的粮食生产战略；扶持村集体经济发展，巩固脱贫攻坚；保障村（社区）正常运转。</w:t>
      </w:r>
    </w:p>
    <w:p>
      <w:pPr>
        <w:widowControl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eastAsia"/>
          <w:lang w:val="en-US" w:eastAsia="zh-CN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（2）质量指标完成2个指标值。双季稻同比增长高于5%；监测户返贫率为0。</w:t>
      </w:r>
    </w:p>
    <w:p>
      <w:pPr>
        <w:pStyle w:val="6"/>
        <w:numPr>
          <w:ilvl w:val="0"/>
          <w:numId w:val="2"/>
        </w:numP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时效指标1个已完成指标值。工作按时办结100%。</w:t>
      </w:r>
    </w:p>
    <w:p>
      <w:pPr>
        <w:pStyle w:val="9"/>
        <w:widowControl/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3.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效益指标总分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0分，得分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17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分。</w:t>
      </w:r>
    </w:p>
    <w:p>
      <w:pPr>
        <w:widowControl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（1）经济效益指标3个均未完成指标值。2023年我镇运输成本较去年同比相差不大，该项指标扣分1分；农民收入水平较去年持平，该项指标扣分1分；井头镇经济增长与去年持平，该项指标扣分1分，造成原因为：因疫情影响，阻碍生产力的发展，导致井头镇经济增长、农民增收未能达到预计标准。改善措施：积极招商引资，多渠道提升企业、群众增收方式，促进井头镇经济稳步增长，保障农民收入。</w:t>
      </w:r>
    </w:p>
    <w:p>
      <w:pPr>
        <w:widowControl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（2）社会效益指标3个均已完成指标值。基础民生有所保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障；道路基础设施建设有所优化；社会安定和谐。</w:t>
      </w:r>
    </w:p>
    <w:p>
      <w:pPr>
        <w:widowControl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（3）生态效益指标1个已完成指标值。营造了良好的节能环保型社会环境，有效地推进了生态建设。</w:t>
      </w:r>
    </w:p>
    <w:p>
      <w:pPr>
        <w:widowControl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（4）可持续影响指标2个已完成指标值。增强了政府的服务职能，提高了办事效率和政府公信力；坚持统筹城乡发展、稳步发展战略。</w:t>
      </w:r>
    </w:p>
    <w:p>
      <w:pPr>
        <w:widowControl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4.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满意度指标总分为10分，得分10分。</w:t>
      </w:r>
    </w:p>
    <w:p>
      <w:pPr>
        <w:widowControl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在2023年度工作中，我镇坚持“以民为本”的工作理念，干部职工满意度95%，社会公众或服务对象满意度95%，均已完成指标值。</w:t>
      </w:r>
    </w:p>
    <w:p>
      <w:pPr>
        <w:pStyle w:val="2"/>
        <w:numPr>
          <w:ilvl w:val="0"/>
          <w:numId w:val="3"/>
        </w:numPr>
        <w:ind w:firstLine="640" w:firstLineChars="200"/>
        <w:rPr>
          <w:rFonts w:hint="eastAsia" w:ascii="仿宋_GB2312" w:hAnsi="Calibri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Times New Roman"/>
          <w:b w:val="0"/>
          <w:kern w:val="2"/>
          <w:sz w:val="32"/>
          <w:szCs w:val="32"/>
          <w:lang w:val="en-US" w:eastAsia="zh-CN" w:bidi="ar-SA"/>
        </w:rPr>
        <w:t>成本指标20分，得分17分。</w:t>
      </w:r>
    </w:p>
    <w:p>
      <w:pPr>
        <w:widowControl/>
        <w:numPr>
          <w:ilvl w:val="0"/>
          <w:numId w:val="0"/>
        </w:numPr>
        <w:spacing w:line="600" w:lineRule="exact"/>
        <w:ind w:firstLine="420" w:firstLineChars="2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 xml:space="preserve"> 在2023年的工作中，我镇严格按照预算指标执行，但由于年中预算有调整，公用经费部分支出突破预算，调整金额298.08万元，调整率85.67%，导致超支预算，该项指标扣3分；全年我镇严格控制三公经费支出，三公经费较去年减少5%，完成了指标值。</w:t>
      </w:r>
    </w:p>
    <w:p>
      <w:pPr>
        <w:pStyle w:val="9"/>
        <w:widowControl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eastAsia="黑体" w:cs="Times New Roman"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黑体" w:cs="Times New Roman"/>
          <w:sz w:val="32"/>
          <w:szCs w:val="32"/>
        </w:rPr>
        <w:t>、项目绩效目标完成情况</w:t>
      </w:r>
    </w:p>
    <w:p>
      <w:pPr>
        <w:pStyle w:val="9"/>
        <w:widowControl/>
        <w:spacing w:line="600" w:lineRule="exact"/>
        <w:ind w:left="640" w:firstLine="0" w:firstLineChars="0"/>
        <w:jc w:val="left"/>
        <w:rPr>
          <w:rFonts w:hint="eastAsia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2"/>
          <w:sz w:val="32"/>
          <w:szCs w:val="32"/>
          <w:lang w:val="en-US" w:eastAsia="zh-CN" w:bidi="ar-SA"/>
        </w:rPr>
        <w:t>无</w:t>
      </w:r>
    </w:p>
    <w:p>
      <w:pPr>
        <w:pStyle w:val="9"/>
        <w:widowControl/>
        <w:numPr>
          <w:ilvl w:val="0"/>
          <w:numId w:val="4"/>
        </w:numPr>
        <w:spacing w:line="600" w:lineRule="exact"/>
        <w:ind w:left="640" w:firstLine="0" w:firstLineChars="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存在问题原因分析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及</w:t>
      </w:r>
      <w:r>
        <w:rPr>
          <w:rFonts w:hint="default" w:ascii="Times New Roman" w:hAnsi="Times New Roman" w:eastAsia="黑体" w:cs="Times New Roman"/>
          <w:sz w:val="32"/>
          <w:szCs w:val="32"/>
        </w:rPr>
        <w:t>改进措施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1.预算编制不够明确和细化，预算编制的合理性需要提高，预算执行力度还要进一步加强。资金使用效益有待进一步提高，绩效目标设立不够明确、细化和量化。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2.因业务水平有限，年初预算的编制支出类别上理解不够，比如基本支出和项目支出，在日常业务操作时容易出错。</w:t>
      </w:r>
    </w:p>
    <w:p>
      <w:pPr>
        <w:ind w:firstLine="640" w:firstLineChars="200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3.“三公经费”控制不足，有超支风险。</w:t>
      </w:r>
    </w:p>
    <w:p>
      <w:pPr>
        <w:widowControl/>
        <w:spacing w:line="600" w:lineRule="exact"/>
        <w:ind w:firstLine="645"/>
        <w:jc w:val="left"/>
        <w:rPr>
          <w:rFonts w:hint="eastAsia" w:ascii="楷体_GB2312" w:hAnsi="楷体" w:eastAsia="楷体_GB2312" w:cs="楷体"/>
          <w:bCs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"/>
          <w:bCs/>
          <w:sz w:val="32"/>
          <w:szCs w:val="32"/>
          <w:lang w:val="en-US" w:eastAsia="zh-CN"/>
        </w:rPr>
        <w:t>（二）原因分析</w:t>
      </w:r>
    </w:p>
    <w:p>
      <w:pPr>
        <w:ind w:firstLine="640" w:firstLineChars="200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1.对预算管理的学习和理解不够透彻。</w:t>
      </w:r>
    </w:p>
    <w:p>
      <w:pPr>
        <w:ind w:firstLine="640" w:firstLineChars="200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2.“三公经费”控制有一定难度，基本为刚性支出。</w:t>
      </w:r>
    </w:p>
    <w:p>
      <w:pPr>
        <w:ind w:firstLine="640" w:firstLineChars="200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3.财务制度方面不够规范、人员分工不明等原因造成的财务工作的拖延和滞后。</w:t>
      </w:r>
    </w:p>
    <w:p>
      <w:pPr>
        <w:pStyle w:val="2"/>
        <w:ind w:firstLine="642"/>
        <w:rPr>
          <w:rFonts w:hint="eastAsia" w:ascii="楷体_GB2312" w:hAnsi="楷体" w:eastAsia="楷体_GB2312" w:cs="楷体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" w:eastAsia="楷体_GB2312" w:cs="楷体"/>
          <w:b w:val="0"/>
          <w:bCs/>
          <w:kern w:val="2"/>
          <w:sz w:val="32"/>
          <w:szCs w:val="32"/>
          <w:lang w:val="en-US" w:eastAsia="zh-CN" w:bidi="ar-SA"/>
        </w:rPr>
        <w:t>（三）</w:t>
      </w:r>
      <w:r>
        <w:rPr>
          <w:rFonts w:hint="eastAsia" w:ascii="楷体_GB2312" w:hAnsi="楷体" w:eastAsia="楷体_GB2312" w:cs="楷体"/>
          <w:b w:val="0"/>
          <w:bCs/>
          <w:kern w:val="2"/>
          <w:sz w:val="32"/>
          <w:szCs w:val="32"/>
          <w:lang w:val="en-US" w:eastAsia="zh-CN" w:bidi="ar-SA"/>
        </w:rPr>
        <w:t>下一步改进措施</w:t>
      </w:r>
    </w:p>
    <w:p>
      <w:pPr>
        <w:numPr>
          <w:numId w:val="0"/>
        </w:numPr>
        <w:ind w:left="0" w:leftChars="0" w:firstLine="739" w:firstLineChars="231"/>
        <w:rPr>
          <w:rFonts w:hint="eastAsia" w:ascii="仿宋_GB2312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1.细化预算编制工作，认真做好预算的编制。进一步加强内设机构的预算管理意识，严格按照预算编制的相关制度和要求进行预算编制；全面编制预算项目，优先保障固定性的、相对刚性的费用支出项目，尽量压缩变动性的、有控制空间的费用项目，进一步提高预算编制的科学性、严谨性和可控性。</w:t>
      </w:r>
    </w:p>
    <w:p>
      <w:pPr>
        <w:numPr>
          <w:numId w:val="0"/>
        </w:numPr>
        <w:ind w:left="0" w:leftChars="0" w:firstLine="739" w:firstLineChars="231"/>
        <w:rPr>
          <w:rFonts w:hint="eastAsia" w:ascii="仿宋_GB2312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2.加强财务管理，严格财务审核。加强单位财务管理，健全单位财务管理制度体系，规范单位财务行为。在费用报账支付时，按照预算规定的费用项目和用途进行资金使用审核、财务严格核算，杜绝超支现象的发生</w:t>
      </w:r>
    </w:p>
    <w:p>
      <w:pPr>
        <w:numPr>
          <w:numId w:val="0"/>
        </w:numPr>
        <w:ind w:left="0" w:leftChars="0" w:firstLine="739" w:firstLineChars="231"/>
        <w:rPr>
          <w:rFonts w:hint="eastAsia" w:ascii="仿宋_GB2312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3.完善资产管理，抓好"三公经费"控制。严格编制政府采购年初预算和计划，规范各类资产的购置审批制度、资产采购制度、使用管理制度、资产处置和报废审批制度、资产管理岗位职责制度等，加强单位内部的资产管理工作。提升会计信息化水平，进一步规范和加强各类资产的会计核算，夯实资产核算的各项基础工作，强化资产账实相符，确保资产信息的全面性、完整性和准确性。严格控制"三公经费"的规模和比例，把关"三公经费"支出的审核、审批，杜绝挪用和挤占其他预算资金行为；进一步细化"三公经费"的管理，合理压缩"三公经费"支出。</w:t>
      </w:r>
    </w:p>
    <w:p>
      <w:pPr>
        <w:numPr>
          <w:numId w:val="0"/>
        </w:numPr>
        <w:ind w:firstLine="960" w:firstLineChars="300"/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4.完善岗位设置，配备财政队伍，并对相关财务人员进一步加强学习，特别要针对《预算法》、《新政府会计制度》学习，规范部门预算收支核算，切实提高部门预算管理水平。</w:t>
      </w:r>
      <w:bookmarkStart w:id="0" w:name="_GoBack"/>
      <w:bookmarkEnd w:id="0"/>
    </w:p>
    <w:p>
      <w:pPr>
        <w:widowControl/>
        <w:numPr>
          <w:ilvl w:val="0"/>
          <w:numId w:val="4"/>
        </w:numPr>
        <w:spacing w:line="600" w:lineRule="exact"/>
        <w:ind w:left="640" w:leftChars="0" w:firstLine="0" w:firstLineChars="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其他需要说明的情况</w:t>
      </w:r>
    </w:p>
    <w:p>
      <w:pPr>
        <w:pStyle w:val="9"/>
        <w:widowControl/>
        <w:spacing w:line="600" w:lineRule="exact"/>
        <w:ind w:left="640" w:firstLine="0" w:firstLineChars="0"/>
        <w:jc w:val="left"/>
        <w:rPr>
          <w:rFonts w:hint="eastAsia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2"/>
          <w:sz w:val="32"/>
          <w:szCs w:val="32"/>
          <w:lang w:val="en-US" w:eastAsia="zh-CN" w:bidi="ar-SA"/>
        </w:rPr>
        <w:t>无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D30820"/>
    <w:multiLevelType w:val="singleLevel"/>
    <w:tmpl w:val="9FD3082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BBC765B6"/>
    <w:multiLevelType w:val="singleLevel"/>
    <w:tmpl w:val="BBC765B6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8FA68F1"/>
    <w:multiLevelType w:val="singleLevel"/>
    <w:tmpl w:val="D8FA68F1"/>
    <w:lvl w:ilvl="0" w:tentative="0">
      <w:start w:val="3"/>
      <w:numFmt w:val="decimal"/>
      <w:suff w:val="nothing"/>
      <w:lvlText w:val="（%1）"/>
      <w:lvlJc w:val="left"/>
    </w:lvl>
  </w:abstractNum>
  <w:abstractNum w:abstractNumId="3">
    <w:nsid w:val="F4AE7DC0"/>
    <w:multiLevelType w:val="singleLevel"/>
    <w:tmpl w:val="F4AE7DC0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zMjFmYjExZDk2OGQ1OGE4MzJkNmI5MTAyODJjODcifQ=="/>
  </w:docVars>
  <w:rsids>
    <w:rsidRoot w:val="4C43681B"/>
    <w:rsid w:val="02D67969"/>
    <w:rsid w:val="068B5B47"/>
    <w:rsid w:val="09146FE7"/>
    <w:rsid w:val="11C95E3A"/>
    <w:rsid w:val="1A086B2F"/>
    <w:rsid w:val="1DE275E2"/>
    <w:rsid w:val="1DEF1689"/>
    <w:rsid w:val="1E6E543A"/>
    <w:rsid w:val="22155519"/>
    <w:rsid w:val="223165BD"/>
    <w:rsid w:val="22674BBC"/>
    <w:rsid w:val="25B739C8"/>
    <w:rsid w:val="27DA3663"/>
    <w:rsid w:val="2A2A1053"/>
    <w:rsid w:val="2A6D41ED"/>
    <w:rsid w:val="2B854A2B"/>
    <w:rsid w:val="2BDB7330"/>
    <w:rsid w:val="34A72A00"/>
    <w:rsid w:val="37EC26F5"/>
    <w:rsid w:val="3C0B6651"/>
    <w:rsid w:val="3D0160AB"/>
    <w:rsid w:val="3E2D187A"/>
    <w:rsid w:val="41330089"/>
    <w:rsid w:val="443D1D4E"/>
    <w:rsid w:val="4C43681B"/>
    <w:rsid w:val="4C923160"/>
    <w:rsid w:val="4E54656B"/>
    <w:rsid w:val="515651ED"/>
    <w:rsid w:val="519A5C81"/>
    <w:rsid w:val="54322682"/>
    <w:rsid w:val="55944FFF"/>
    <w:rsid w:val="58EA42F7"/>
    <w:rsid w:val="592917C1"/>
    <w:rsid w:val="5DDF7AE8"/>
    <w:rsid w:val="60067FC1"/>
    <w:rsid w:val="60A52F4C"/>
    <w:rsid w:val="6778080A"/>
    <w:rsid w:val="687115B5"/>
    <w:rsid w:val="6C2E7CD3"/>
    <w:rsid w:val="6CB461FC"/>
    <w:rsid w:val="6DC431FB"/>
    <w:rsid w:val="6F795A80"/>
    <w:rsid w:val="776C076D"/>
    <w:rsid w:val="7B88713B"/>
    <w:rsid w:val="7FA14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outlineLvl w:val="0"/>
    </w:pPr>
    <w:rPr>
      <w:rFonts w:ascii="微软雅黑" w:hAnsi="微软雅黑" w:eastAsia="微软雅黑" w:cs="微软雅黑"/>
      <w:b/>
      <w:kern w:val="44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ind w:left="120"/>
    </w:pPr>
    <w:rPr>
      <w:rFonts w:ascii="仿宋" w:hAnsi="仿宋" w:eastAsia="仿宋" w:cs="仿宋"/>
      <w:sz w:val="32"/>
      <w:szCs w:val="32"/>
      <w:lang w:val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"/>
    <w:basedOn w:val="3"/>
    <w:unhideWhenUsed/>
    <w:qFormat/>
    <w:uiPriority w:val="99"/>
    <w:pPr>
      <w:adjustRightInd w:val="0"/>
      <w:snapToGrid w:val="0"/>
      <w:spacing w:beforeLines="50" w:after="0" w:line="360" w:lineRule="auto"/>
      <w:ind w:firstLine="200" w:firstLineChars="200"/>
    </w:pPr>
    <w:rPr>
      <w:rFonts w:ascii="Times New Roman" w:hAnsi="Times New Roman"/>
      <w:sz w:val="24"/>
      <w:szCs w:val="24"/>
    </w:rPr>
  </w:style>
  <w:style w:type="paragraph" w:customStyle="1" w:styleId="9">
    <w:name w:val="List Paragraph"/>
    <w:basedOn w:val="1"/>
    <w:qFormat/>
    <w:uiPriority w:val="99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2024-03-05T00:23:00Z</dcterms:created>
  <dc:creator>Administrator</dc:creator>
  <cp:lastModifiedBy>邓威 null</cp:lastModifiedBy>
  <dcterms:modified xsi:type="dcterms:W3CDTF">2024-04-24T08:20:05Z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02D5061B768C420784F0E3588E6A3D0A</vt:lpwstr>
  </property>
</Properties>
</file>