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rPr>
          <w:rFonts w:hint="default" w:ascii="Times New Roman" w:hAnsi="Times New Roman" w:cs="Times New Roman"/>
        </w:rPr>
      </w:pPr>
    </w:p>
    <w:p>
      <w:pPr>
        <w:spacing w:line="600" w:lineRule="exact"/>
        <w:jc w:val="center"/>
        <w:rPr>
          <w:rFonts w:hint="default" w:ascii="Times New Roman" w:hAnsi="Times New Roman" w:eastAsia="方正小标宋_GBK" w:cs="Times New Roman"/>
          <w:sz w:val="36"/>
          <w:szCs w:val="36"/>
        </w:rPr>
      </w:pPr>
      <w:r>
        <w:rPr>
          <w:rFonts w:hint="eastAsia" w:ascii="Times New Roman" w:hAnsi="Times New Roman" w:eastAsia="方正小标宋_GBK" w:cs="Times New Roman"/>
          <w:sz w:val="36"/>
          <w:szCs w:val="36"/>
          <w:lang w:val="en-US" w:eastAsia="zh-CN"/>
        </w:rPr>
        <w:t>西渡镇2023年度</w:t>
      </w:r>
      <w:r>
        <w:rPr>
          <w:rFonts w:hint="default" w:ascii="Times New Roman" w:hAnsi="Times New Roman" w:eastAsia="方正小标宋_GBK" w:cs="Times New Roman"/>
          <w:sz w:val="36"/>
          <w:szCs w:val="36"/>
        </w:rPr>
        <w:t>部门整体支出绩效自评报告</w:t>
      </w:r>
    </w:p>
    <w:p>
      <w:pPr>
        <w:spacing w:line="600" w:lineRule="exact"/>
        <w:jc w:val="center"/>
        <w:rPr>
          <w:rFonts w:hint="default" w:ascii="Times New Roman" w:hAnsi="Times New Roman" w:eastAsia="方正小标宋_GBK" w:cs="Times New Roman"/>
          <w:sz w:val="36"/>
          <w:szCs w:val="36"/>
        </w:rPr>
      </w:pPr>
    </w:p>
    <w:p>
      <w:pPr>
        <w:spacing w:line="60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pStyle w:val="6"/>
        <w:widowControl/>
        <w:spacing w:line="600" w:lineRule="exact"/>
        <w:ind w:left="640" w:firstLine="0" w:firstLineChars="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一、部门、单位基本情况</w:t>
      </w:r>
    </w:p>
    <w:p>
      <w:pPr>
        <w:pStyle w:val="6"/>
        <w:widowControl/>
        <w:spacing w:line="600" w:lineRule="exact"/>
        <w:ind w:left="640" w:firstLine="0" w:firstLineChars="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（一）机构设置情况</w:t>
      </w:r>
    </w:p>
    <w:p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衡阳县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西渡镇</w:t>
      </w:r>
      <w:r>
        <w:rPr>
          <w:rFonts w:hint="eastAsia" w:ascii="仿宋" w:hAnsi="仿宋" w:eastAsia="仿宋" w:cs="仿宋"/>
          <w:sz w:val="32"/>
          <w:szCs w:val="32"/>
        </w:rPr>
        <w:t>人民政府为正科级全额拨款行政单位。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根据编委核定，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西渡镇</w:t>
      </w:r>
      <w:r>
        <w:rPr>
          <w:rFonts w:hint="eastAsia" w:ascii="仿宋" w:hAnsi="仿宋" w:eastAsia="仿宋" w:cs="仿宋"/>
          <w:sz w:val="32"/>
          <w:szCs w:val="32"/>
        </w:rPr>
        <w:t>共有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 w:cs="仿宋"/>
          <w:sz w:val="32"/>
          <w:szCs w:val="32"/>
        </w:rPr>
        <w:t>中心一大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队</w:t>
      </w:r>
      <w:r>
        <w:rPr>
          <w:rFonts w:hint="eastAsia" w:ascii="仿宋" w:hAnsi="仿宋" w:eastAsia="仿宋" w:cs="仿宋"/>
          <w:sz w:val="32"/>
          <w:szCs w:val="32"/>
        </w:rPr>
        <w:t>内设机构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分别为政务服务中心、农业综合服务中心、综合执法大队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。全部纳入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2023年部门预算编制范围。</w:t>
      </w:r>
    </w:p>
    <w:p>
      <w:pPr>
        <w:pStyle w:val="6"/>
        <w:widowControl/>
        <w:spacing w:line="600" w:lineRule="exact"/>
        <w:ind w:left="640" w:firstLine="0" w:firstLineChars="0"/>
        <w:rPr>
          <w:rFonts w:hint="default" w:ascii="Times New Roman" w:hAnsi="Times New Roman" w:eastAsia="楷体_GB2312" w:cs="Times New Roman"/>
          <w:sz w:val="32"/>
          <w:szCs w:val="32"/>
        </w:rPr>
      </w:pPr>
    </w:p>
    <w:p>
      <w:pPr>
        <w:pStyle w:val="6"/>
        <w:widowControl/>
        <w:numPr>
          <w:ilvl w:val="0"/>
          <w:numId w:val="1"/>
        </w:numPr>
        <w:spacing w:line="600" w:lineRule="exact"/>
        <w:ind w:left="640" w:firstLine="0" w:firstLineChars="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人员编制情况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人员编制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204</w:t>
      </w:r>
      <w:r>
        <w:rPr>
          <w:rFonts w:hint="eastAsia" w:ascii="仿宋_GB2312" w:eastAsia="仿宋_GB2312"/>
          <w:sz w:val="32"/>
          <w:szCs w:val="32"/>
        </w:rPr>
        <w:t>名，其中：行政编制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62</w:t>
      </w:r>
      <w:r>
        <w:rPr>
          <w:rFonts w:hint="eastAsia" w:ascii="仿宋_GB2312" w:eastAsia="仿宋_GB2312"/>
          <w:sz w:val="32"/>
          <w:szCs w:val="32"/>
        </w:rPr>
        <w:t>名，事业编制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137</w:t>
      </w:r>
      <w:r>
        <w:rPr>
          <w:rFonts w:hint="eastAsia" w:ascii="仿宋_GB2312" w:eastAsia="仿宋_GB2312"/>
          <w:sz w:val="32"/>
          <w:szCs w:val="32"/>
        </w:rPr>
        <w:t>名；实有在职人员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204</w:t>
      </w:r>
      <w:r>
        <w:rPr>
          <w:rFonts w:hint="eastAsia" w:ascii="仿宋_GB2312" w:eastAsia="仿宋_GB2312"/>
          <w:sz w:val="32"/>
          <w:szCs w:val="32"/>
        </w:rPr>
        <w:t>人，其中：行政及参照公务员管理人员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62</w:t>
      </w:r>
      <w:r>
        <w:rPr>
          <w:rFonts w:hint="eastAsia" w:ascii="仿宋_GB2312" w:eastAsia="仿宋_GB2312"/>
          <w:sz w:val="32"/>
          <w:szCs w:val="32"/>
        </w:rPr>
        <w:t>人，非参公事业人员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142人</w:t>
      </w:r>
      <w:r>
        <w:rPr>
          <w:rFonts w:hint="eastAsia" w:ascii="仿宋_GB2312" w:eastAsia="仿宋_GB2312"/>
          <w:sz w:val="32"/>
          <w:szCs w:val="32"/>
        </w:rPr>
        <w:t>；另有退休人员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132</w:t>
      </w:r>
      <w:r>
        <w:rPr>
          <w:rFonts w:hint="eastAsia" w:ascii="仿宋_GB2312" w:eastAsia="仿宋_GB2312"/>
          <w:sz w:val="32"/>
          <w:szCs w:val="32"/>
        </w:rPr>
        <w:t>人。</w:t>
      </w:r>
    </w:p>
    <w:p>
      <w:pPr>
        <w:pStyle w:val="6"/>
        <w:widowControl/>
        <w:numPr>
          <w:ilvl w:val="0"/>
          <w:numId w:val="0"/>
        </w:numPr>
        <w:spacing w:line="600" w:lineRule="exact"/>
        <w:ind w:left="640" w:leftChars="0"/>
        <w:rPr>
          <w:rFonts w:hint="default" w:ascii="Times New Roman" w:hAnsi="Times New Roman" w:eastAsia="楷体_GB2312" w:cs="Times New Roman"/>
          <w:sz w:val="32"/>
          <w:szCs w:val="32"/>
        </w:rPr>
      </w:pPr>
    </w:p>
    <w:p>
      <w:pPr>
        <w:pStyle w:val="6"/>
        <w:widowControl/>
        <w:spacing w:line="600" w:lineRule="exact"/>
        <w:ind w:left="640" w:firstLine="0" w:firstLineChars="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二、预算支出情况</w:t>
      </w:r>
    </w:p>
    <w:p>
      <w:pPr>
        <w:pStyle w:val="6"/>
        <w:widowControl/>
        <w:spacing w:line="600" w:lineRule="exact"/>
        <w:ind w:left="640" w:firstLine="0" w:firstLineChars="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（一）</w:t>
      </w:r>
      <w:r>
        <w:rPr>
          <w:rFonts w:hint="eastAsia" w:eastAsia="楷体_GB2312" w:cs="Times New Roman"/>
          <w:sz w:val="32"/>
          <w:szCs w:val="32"/>
          <w:lang w:eastAsia="zh-CN"/>
        </w:rPr>
        <w:t>部门</w:t>
      </w:r>
      <w:r>
        <w:rPr>
          <w:rFonts w:hint="default" w:ascii="Times New Roman" w:hAnsi="Times New Roman" w:eastAsia="楷体_GB2312" w:cs="Times New Roman"/>
          <w:sz w:val="32"/>
          <w:szCs w:val="32"/>
        </w:rPr>
        <w:t>预决算情况</w:t>
      </w:r>
      <w:bookmarkStart w:id="0" w:name="_GoBack"/>
      <w:bookmarkEnd w:id="0"/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1.部门预算情况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2023年年初预算安排收入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3599.24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万元，其中一般公共财政拨款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784.64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社会保障和就业支出647.19万元，卫生支出108.49万元，城乡社区支出27.75万元，农林水支出1884.03万元，住房保障支出147.14万元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；2023年年初预算安排支出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3599.24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其中：基本支出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1920.11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万元，项目支出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1679.13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2.部门决算情况（含年中预算追加情况）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2023年决算总收入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12365.01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万元，较预算增加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9476.3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万元，总支出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12365.01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万元，其中：基本支出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1934.39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万元，占总支出的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15.64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％；项目支出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10430.61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万元，占总支出的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84.36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％。差异产生的主要原因是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行账账记账省厅考核，往来资金也必须预算平行记账作收入支出，造成收入支出过大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楷体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kern w:val="2"/>
          <w:sz w:val="32"/>
          <w:szCs w:val="32"/>
          <w:lang w:val="en-US" w:eastAsia="zh-CN" w:bidi="ar-SA"/>
        </w:rPr>
        <w:t>（二）部门预算执行情况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.“三公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经费执行情况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2023年“三公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经费预算数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8.69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万元，其中：因公出国（境）费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万元，公务用车购置及运行维护费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1.45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万元，公务接待费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7.24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万元。“三公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经费决算数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8.69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元，其中：因公出国（境）费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万元，公务用车运行维护费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1.45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万元，公务接待费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7.24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.政府采购执行情况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2023年度政府采购支出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761.81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万元，其中：货物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71.93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元，工程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98.38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万元，服务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591.5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.资产管理情况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2023年年末资产总额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8748.2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万元，负债总额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10319.26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万元，净资产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-1571.06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万元。截至2023年12月31日，固定资产账面原值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1035.77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万元，在用资产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1035.77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万元，资产使用率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%。</w:t>
      </w:r>
    </w:p>
    <w:p>
      <w:pPr>
        <w:widowControl/>
        <w:spacing w:line="600" w:lineRule="exact"/>
        <w:ind w:firstLine="645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三、部门整体支出绩效情况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楷体_GB2312" w:cs="Times New Roman"/>
          <w:bCs/>
          <w:sz w:val="32"/>
          <w:szCs w:val="32"/>
        </w:rPr>
      </w:pPr>
      <w:r>
        <w:rPr>
          <w:rFonts w:hint="default" w:ascii="Times New Roman" w:hAnsi="Times New Roman" w:eastAsia="楷体_GB2312" w:cs="Times New Roman"/>
          <w:bCs/>
          <w:sz w:val="32"/>
          <w:szCs w:val="32"/>
        </w:rPr>
        <w:t>（一）综合评价结论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年度，从年初工作计划和年度整体支出情况来看，一是预算执行情况较好，支出把关较严，量力而行，量财办事；二是农村产业结构调整较好，低效常规农作物种植率较低；三是廉政建设执行率较好。自评得分92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.56</w:t>
      </w:r>
      <w:r>
        <w:rPr>
          <w:rFonts w:hint="eastAsia" w:ascii="仿宋_GB2312" w:hAnsi="仿宋_GB2312" w:eastAsia="仿宋_GB2312" w:cs="仿宋_GB2312"/>
          <w:sz w:val="32"/>
          <w:szCs w:val="32"/>
        </w:rPr>
        <w:t>分，评价等级优秀。</w:t>
      </w:r>
    </w:p>
    <w:p>
      <w:pPr>
        <w:widowControl/>
        <w:spacing w:line="600" w:lineRule="exact"/>
        <w:ind w:firstLine="645"/>
        <w:jc w:val="left"/>
        <w:rPr>
          <w:rFonts w:hint="default" w:ascii="Times New Roman" w:hAnsi="Times New Roman" w:eastAsia="楷体" w:cs="Times New Roman"/>
          <w:b/>
          <w:bCs/>
          <w:sz w:val="32"/>
          <w:szCs w:val="32"/>
        </w:rPr>
      </w:pPr>
    </w:p>
    <w:p>
      <w:pPr>
        <w:widowControl/>
        <w:numPr>
          <w:ilvl w:val="0"/>
          <w:numId w:val="1"/>
        </w:numPr>
        <w:spacing w:line="600" w:lineRule="exact"/>
        <w:ind w:left="640" w:leftChars="0" w:firstLine="0" w:firstLineChars="0"/>
        <w:jc w:val="left"/>
        <w:rPr>
          <w:rFonts w:hint="default" w:ascii="Times New Roman" w:hAnsi="Times New Roman" w:eastAsia="楷体_GB2312" w:cs="Times New Roman"/>
          <w:bCs/>
          <w:sz w:val="32"/>
          <w:szCs w:val="32"/>
        </w:rPr>
      </w:pPr>
      <w:r>
        <w:rPr>
          <w:rFonts w:hint="default" w:ascii="Times New Roman" w:hAnsi="Times New Roman" w:eastAsia="楷体_GB2312" w:cs="Times New Roman"/>
          <w:bCs/>
          <w:sz w:val="32"/>
          <w:szCs w:val="32"/>
        </w:rPr>
        <w:t>评价指标分析（或综合评价情况）。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根据前面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年度部门整体支出状况的概述和分析，我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镇</w:t>
      </w:r>
      <w:r>
        <w:rPr>
          <w:rFonts w:hint="eastAsia" w:ascii="仿宋_GB2312" w:hAnsi="仿宋_GB2312" w:eastAsia="仿宋_GB2312" w:cs="仿宋_GB2312"/>
          <w:sz w:val="32"/>
          <w:szCs w:val="32"/>
        </w:rPr>
        <w:t>部门整体支出绩效情况如下：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1.本年预算配置控制较好，财政供养人员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基本</w:t>
      </w:r>
      <w:r>
        <w:rPr>
          <w:rFonts w:hint="eastAsia" w:ascii="仿宋_GB2312" w:hAnsi="仿宋_GB2312" w:eastAsia="仿宋_GB2312" w:cs="仿宋_GB2312"/>
          <w:sz w:val="32"/>
          <w:szCs w:val="32"/>
        </w:rPr>
        <w:t>控制在预算编制以内，实际在职人员数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略大</w:t>
      </w:r>
      <w:r>
        <w:rPr>
          <w:rFonts w:hint="eastAsia" w:ascii="仿宋_GB2312" w:hAnsi="仿宋_GB2312" w:eastAsia="仿宋_GB2312" w:cs="仿宋_GB2312"/>
          <w:sz w:val="32"/>
          <w:szCs w:val="32"/>
        </w:rPr>
        <w:t>于编制数。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2.预算执行方面，支出总额控制在预算总额内，除专项预算的追加和政策性工资绩效预算的追加外，本部门预算未进行预算相关事项调整。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3.预算管理方面，制定了切实有效的内部财务、资产管理等制度，执行总体较为有效。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4.较好地完成了年度工作任务，各项绩效目标完成度均在95%以上。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5.举全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镇</w:t>
      </w:r>
      <w:r>
        <w:rPr>
          <w:rFonts w:hint="eastAsia" w:ascii="仿宋_GB2312" w:hAnsi="仿宋_GB2312" w:eastAsia="仿宋_GB2312" w:cs="仿宋_GB2312"/>
          <w:sz w:val="32"/>
          <w:szCs w:val="32"/>
        </w:rPr>
        <w:t>之力振兴乡村经济，深入开展污染防治攻坚战。今年我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乡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进行人居环境卫生改革，按照“党委抓总、村级负责、属地管理”的原则，明确行政村是人居环境卫生的主体责任，通过改革实现全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乡</w:t>
      </w:r>
      <w:r>
        <w:rPr>
          <w:rFonts w:hint="eastAsia" w:ascii="仿宋_GB2312" w:hAnsi="仿宋_GB2312" w:eastAsia="仿宋_GB2312" w:cs="仿宋_GB2312"/>
          <w:sz w:val="32"/>
          <w:szCs w:val="32"/>
        </w:rPr>
        <w:t>人居环境卫生保洁常态化。坚持把优化营商环境作为招商引资的前提，努力打造投资洼地，服务高地，提升投资环境竞争力。切实落实“种地得补贴，不种地不得补贴”的要求，提高农民种粮积极性。推广植树造林，开展荒山植绿和复绿行动，建好青山绿水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民生保障再上新台阶，不断增强民生福祉。全面落实养老保障待遇核查“回头看”工作。组建工作专班，组织领导各村村干部下沉到每一村、每一户，严格落实“两个全覆盖”和“五个搞清楚”要求，推进养老保障待遇核查“回头看”工作。核查中，注重加强政银联动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打通</w:t>
      </w:r>
      <w:r>
        <w:rPr>
          <w:rFonts w:hint="eastAsia" w:ascii="仿宋_GB2312" w:hAnsi="仿宋_GB2312" w:eastAsia="仿宋_GB2312" w:cs="仿宋_GB2312"/>
          <w:sz w:val="32"/>
          <w:szCs w:val="32"/>
        </w:rPr>
        <w:t>数据堡垒，加强信息共享，确保数据真实准确。进一步增强农村文化软实力，加强村级公共文化服务中心、农家书屋的投入与管理，发展培育基层文化骨干。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7.政府自身建设不断加强。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镇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政府自觉接受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镇</w:t>
      </w:r>
      <w:r>
        <w:rPr>
          <w:rFonts w:hint="eastAsia" w:ascii="仿宋_GB2312" w:hAnsi="仿宋_GB2312" w:eastAsia="仿宋_GB2312" w:cs="仿宋_GB2312"/>
          <w:sz w:val="32"/>
          <w:szCs w:val="32"/>
        </w:rPr>
        <w:t>人大和群众监督，继续推行政务公开，严格执行“八项规定”和“六项禁令”，坚决反对“四风”实现“一站式”服务；拓展村级服务站，简化办事程序，政府效能和执行力稳步提高。</w:t>
      </w:r>
    </w:p>
    <w:p>
      <w:pPr>
        <w:pStyle w:val="6"/>
        <w:widowControl/>
        <w:spacing w:line="600" w:lineRule="exac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eastAsia="黑体" w:cs="Times New Roman"/>
          <w:sz w:val="32"/>
          <w:szCs w:val="32"/>
          <w:lang w:eastAsia="zh-CN"/>
        </w:rPr>
        <w:t>四</w:t>
      </w:r>
      <w:r>
        <w:rPr>
          <w:rFonts w:hint="default" w:ascii="Times New Roman" w:hAnsi="Times New Roman" w:eastAsia="黑体" w:cs="Times New Roman"/>
          <w:sz w:val="32"/>
          <w:szCs w:val="32"/>
        </w:rPr>
        <w:t>、项目绩效目标完成情况</w:t>
      </w:r>
    </w:p>
    <w:p>
      <w:pPr>
        <w:pStyle w:val="6"/>
        <w:widowControl/>
        <w:spacing w:line="600" w:lineRule="exact"/>
        <w:ind w:left="640" w:firstLine="0" w:firstLineChars="0"/>
        <w:jc w:val="left"/>
        <w:rPr>
          <w:rFonts w:hint="eastAsia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2"/>
          <w:sz w:val="32"/>
          <w:szCs w:val="32"/>
          <w:lang w:val="en-US" w:eastAsia="zh-CN" w:bidi="ar-SA"/>
        </w:rPr>
        <w:t>无</w:t>
      </w:r>
    </w:p>
    <w:p>
      <w:pPr>
        <w:numPr>
          <w:ilvl w:val="0"/>
          <w:numId w:val="2"/>
        </w:numPr>
        <w:spacing w:line="60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存在问题原因分析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及</w:t>
      </w:r>
      <w:r>
        <w:rPr>
          <w:rFonts w:hint="default" w:ascii="Times New Roman" w:hAnsi="Times New Roman" w:eastAsia="黑体" w:cs="Times New Roman"/>
          <w:sz w:val="32"/>
          <w:szCs w:val="32"/>
        </w:rPr>
        <w:t>改进措施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不足和问题，主要体现在以下几个方面：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1.预算编制不够准确。</w:t>
      </w:r>
      <w:r>
        <w:rPr>
          <w:rFonts w:hint="eastAsia" w:ascii="仿宋_GB2312" w:hAnsi="仿宋_GB2312" w:eastAsia="仿宋_GB2312" w:cs="仿宋_GB2312"/>
          <w:sz w:val="32"/>
          <w:szCs w:val="32"/>
        </w:rPr>
        <w:t>主要是部分资金未纳入年初预算范围，造成追加预算部分金额较多，影响整体预算编制的准确率，预算编制准确率有待进一步提高。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2.财政工作水平有待提高。</w:t>
      </w:r>
      <w:r>
        <w:rPr>
          <w:rFonts w:hint="eastAsia" w:ascii="仿宋_GB2312" w:hAnsi="仿宋_GB2312" w:eastAsia="仿宋_GB2312" w:cs="仿宋_GB2312"/>
          <w:sz w:val="32"/>
          <w:szCs w:val="32"/>
        </w:rPr>
        <w:t>财政工作按部就班，缺乏创新，在精度和深度上欠缺，还需要进一步完善，尤其是要做到专款专用。</w:t>
      </w:r>
    </w:p>
    <w:p>
      <w:pPr>
        <w:pStyle w:val="6"/>
        <w:widowControl/>
        <w:spacing w:line="600" w:lineRule="exact"/>
        <w:ind w:left="640" w:firstLine="0" w:firstLineChars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3.对绩效评价认识不足。</w:t>
      </w:r>
      <w:r>
        <w:rPr>
          <w:rFonts w:hint="eastAsia" w:ascii="仿宋_GB2312" w:hAnsi="仿宋_GB2312" w:eastAsia="仿宋_GB2312" w:cs="仿宋_GB2312"/>
          <w:sz w:val="32"/>
          <w:szCs w:val="32"/>
        </w:rPr>
        <w:t>没有建立健全的制度，对制度的执行力度不够，对绩效评价业务仍有不熟悉的地方。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针对以上存在的问题，应把握以下重点：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1.准确编制预算。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细化预算编制工作，认真做好预算的编制。进一步加强单位内部机构各站所的预算管理意识，严格按照预算编制的相关制度和要求进行预算编制；全面编制预算项目，优先保障固定性的、相对刚性的费用支出项目，尽量压缩变动性的、有控制空间的费用项目，进一步提高预算编制的科学性、严谨性和可控性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2.加强财务管理，认真学习政策。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是要加强单位财务管理，健全单位财务管理制度体系，规范单位财务行为。在费用报账支付时，按照预算规定的费用项目和用途进行资金使用审核、列报支付、财务核算，杜绝超支现象的发生。二是建议加强政策学习，提高思想认识。组织相关人员认真学习《会计法》、《预算法》等相关法规、制度，提高单位领导对学习财务管理政策的重视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3.履行绩效评价建设建设职能。</w:t>
      </w:r>
    </w:p>
    <w:p>
      <w:pPr>
        <w:spacing w:line="60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进一步完善内部管理制度，提升管理效能，更好地履行生态文明建设职能。组织相关人员进行绩效培训，并在单位宣传绩效评价的重要性与意识，为绩效评价工作夯实基础。</w:t>
      </w:r>
    </w:p>
    <w:p>
      <w:pPr>
        <w:widowControl/>
        <w:numPr>
          <w:ilvl w:val="0"/>
          <w:numId w:val="2"/>
        </w:numPr>
        <w:spacing w:line="600" w:lineRule="exact"/>
        <w:ind w:left="0" w:leftChars="0" w:firstLine="640" w:firstLineChars="200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其他需要说明的情况</w:t>
      </w:r>
    </w:p>
    <w:p>
      <w:pPr>
        <w:widowControl/>
        <w:numPr>
          <w:ilvl w:val="0"/>
          <w:numId w:val="0"/>
        </w:numPr>
        <w:spacing w:line="600" w:lineRule="exact"/>
        <w:ind w:leftChars="200" w:firstLine="320" w:firstLineChars="100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无</w:t>
      </w:r>
    </w:p>
    <w:p>
      <w:pPr>
        <w:widowControl/>
        <w:numPr>
          <w:ilvl w:val="0"/>
          <w:numId w:val="0"/>
        </w:numPr>
        <w:spacing w:line="600" w:lineRule="exact"/>
        <w:ind w:leftChars="200"/>
        <w:jc w:val="left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widowControl/>
        <w:numPr>
          <w:ilvl w:val="0"/>
          <w:numId w:val="0"/>
        </w:numPr>
        <w:tabs>
          <w:tab w:val="left" w:pos="5636"/>
        </w:tabs>
        <w:spacing w:line="600" w:lineRule="exact"/>
        <w:ind w:leftChars="200"/>
        <w:jc w:val="left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ab/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西渡镇人民政府</w:t>
      </w:r>
    </w:p>
    <w:p>
      <w:pPr>
        <w:widowControl/>
        <w:numPr>
          <w:ilvl w:val="0"/>
          <w:numId w:val="0"/>
        </w:numPr>
        <w:tabs>
          <w:tab w:val="left" w:pos="5636"/>
        </w:tabs>
        <w:spacing w:line="600" w:lineRule="exact"/>
        <w:ind w:leftChars="200"/>
        <w:jc w:val="lef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 xml:space="preserve">                                 2024年5月14日</w:t>
      </w:r>
    </w:p>
    <w:p>
      <w:pPr>
        <w:widowControl/>
        <w:numPr>
          <w:ilvl w:val="0"/>
          <w:numId w:val="0"/>
        </w:numPr>
        <w:spacing w:line="600" w:lineRule="exact"/>
        <w:ind w:leftChars="200"/>
        <w:jc w:val="left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widowControl/>
        <w:numPr>
          <w:ilvl w:val="0"/>
          <w:numId w:val="0"/>
        </w:numPr>
        <w:spacing w:line="600" w:lineRule="exact"/>
        <w:ind w:leftChars="200"/>
        <w:jc w:val="left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widowControl/>
        <w:numPr>
          <w:ilvl w:val="0"/>
          <w:numId w:val="0"/>
        </w:numPr>
        <w:spacing w:line="600" w:lineRule="exact"/>
        <w:ind w:leftChars="200"/>
        <w:jc w:val="lef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 xml:space="preserve">                   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B15C25"/>
    <w:multiLevelType w:val="singleLevel"/>
    <w:tmpl w:val="2DB15C25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6963C148"/>
    <w:multiLevelType w:val="singleLevel"/>
    <w:tmpl w:val="6963C148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iYjUyMmI3MTZkNWFkNGM2ODQ3YmM3MjgzMGExZTgifQ=="/>
  </w:docVars>
  <w:rsids>
    <w:rsidRoot w:val="4C43681B"/>
    <w:rsid w:val="02D67969"/>
    <w:rsid w:val="068B5B47"/>
    <w:rsid w:val="09146FE7"/>
    <w:rsid w:val="1A086B2F"/>
    <w:rsid w:val="1DE275E2"/>
    <w:rsid w:val="1DEF1689"/>
    <w:rsid w:val="1E6E543A"/>
    <w:rsid w:val="22155519"/>
    <w:rsid w:val="223165BD"/>
    <w:rsid w:val="22674BBC"/>
    <w:rsid w:val="25B739C8"/>
    <w:rsid w:val="27DA3663"/>
    <w:rsid w:val="2A2A1053"/>
    <w:rsid w:val="2A6D41ED"/>
    <w:rsid w:val="2B854A2B"/>
    <w:rsid w:val="2BDB7330"/>
    <w:rsid w:val="34A72A00"/>
    <w:rsid w:val="3C0B6651"/>
    <w:rsid w:val="3D0160AB"/>
    <w:rsid w:val="3E2D187A"/>
    <w:rsid w:val="44EF5147"/>
    <w:rsid w:val="4C43681B"/>
    <w:rsid w:val="4C923160"/>
    <w:rsid w:val="4E54656B"/>
    <w:rsid w:val="515651ED"/>
    <w:rsid w:val="519A5C81"/>
    <w:rsid w:val="521C2651"/>
    <w:rsid w:val="52AF7B03"/>
    <w:rsid w:val="55944FFF"/>
    <w:rsid w:val="58EA42F7"/>
    <w:rsid w:val="592917C1"/>
    <w:rsid w:val="5A4B6183"/>
    <w:rsid w:val="5DDF7AE8"/>
    <w:rsid w:val="60067FC1"/>
    <w:rsid w:val="60A52F4C"/>
    <w:rsid w:val="636E0C34"/>
    <w:rsid w:val="6778080A"/>
    <w:rsid w:val="687115B5"/>
    <w:rsid w:val="6C2E7CD3"/>
    <w:rsid w:val="6CB461FC"/>
    <w:rsid w:val="6DC431FB"/>
    <w:rsid w:val="776C076D"/>
    <w:rsid w:val="7B88713B"/>
    <w:rsid w:val="7FA14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List Paragraph"/>
    <w:basedOn w:val="1"/>
    <w:autoRedefine/>
    <w:qFormat/>
    <w:uiPriority w:val="99"/>
    <w:pPr>
      <w:ind w:firstLine="420" w:firstLineChars="200"/>
    </w:pPr>
    <w:rPr>
      <w:rFonts w:ascii="Times New Roman" w:hAnsi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2024-03-05T00:23:00Z</dcterms:created>
  <dc:creator>Administrator</dc:creator>
  <cp:lastModifiedBy>衡阳县财政局</cp:lastModifiedBy>
  <dcterms:modified xsi:type="dcterms:W3CDTF">2024-05-17T02:04:03Z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AB5560B479944767B381AD5F9021AF24_13</vt:lpwstr>
  </property>
</Properties>
</file>