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>
      <w:pPr>
        <w:jc w:val="center"/>
        <w:rPr>
          <w:rFonts w:ascii="方正小标宋_GBK" w:eastAsia="方正小标宋_GBK"/>
          <w:sz w:val="44"/>
          <w:szCs w:val="44"/>
          <w:lang w:eastAsia="zh-CN"/>
        </w:rPr>
      </w:pPr>
      <w:bookmarkStart w:id="0" w:name="bookmark0"/>
    </w:p>
    <w:p>
      <w:pPr>
        <w:jc w:val="center"/>
        <w:rPr>
          <w:rFonts w:ascii="方正小标宋_GBK" w:eastAsia="方正小标宋_GBK"/>
          <w:sz w:val="44"/>
          <w:szCs w:val="44"/>
        </w:rPr>
      </w:pPr>
    </w:p>
    <w:p>
      <w:pPr>
        <w:jc w:val="center"/>
        <w:rPr>
          <w:rFonts w:ascii="方正小标宋_GBK" w:eastAsia="方正小标宋_GBK"/>
          <w:sz w:val="44"/>
          <w:szCs w:val="44"/>
        </w:rPr>
      </w:pPr>
    </w:p>
    <w:p>
      <w:pPr>
        <w:jc w:val="center"/>
        <w:rPr>
          <w:rFonts w:ascii="方正小标宋_GBK" w:eastAsia="方正小标宋_GBK"/>
          <w:sz w:val="44"/>
          <w:szCs w:val="44"/>
        </w:rPr>
      </w:pPr>
      <w:r>
        <w:rPr>
          <w:rFonts w:hint="eastAsia" w:ascii="方正小标宋_GBK" w:eastAsia="方正小标宋_GBK"/>
          <w:sz w:val="44"/>
          <w:szCs w:val="44"/>
        </w:rPr>
        <w:t>衡阳县部门整体支出绩效自评报告</w:t>
      </w:r>
    </w:p>
    <w:p>
      <w:pPr/>
    </w:p>
    <w:p>
      <w:pPr>
        <w:jc w:val="center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 20</w:t>
      </w:r>
      <w:r>
        <w:rPr>
          <w:rFonts w:hint="eastAsia" w:ascii="仿宋_GB2312" w:eastAsia="仿宋_GB2312"/>
          <w:sz w:val="32"/>
          <w:szCs w:val="32"/>
          <w:u w:val="single"/>
          <w:lang w:eastAsia="zh-CN"/>
        </w:rPr>
        <w:t>2</w:t>
      </w:r>
      <w:r>
        <w:rPr>
          <w:rFonts w:hint="eastAsia" w:ascii="仿宋_GB2312" w:eastAsia="仿宋_GB2312"/>
          <w:sz w:val="32"/>
          <w:szCs w:val="32"/>
          <w:u w:val="single"/>
          <w:lang w:val="en-US" w:eastAsia="zh-CN"/>
        </w:rPr>
        <w:t>2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</w:t>
      </w:r>
      <w:r>
        <w:rPr>
          <w:rFonts w:hint="eastAsia" w:ascii="仿宋_GB2312" w:eastAsia="仿宋_GB2312"/>
          <w:sz w:val="32"/>
          <w:szCs w:val="32"/>
        </w:rPr>
        <w:t>年度 ）</w:t>
      </w:r>
    </w:p>
    <w:p>
      <w:pPr/>
    </w:p>
    <w:p>
      <w:pPr/>
    </w:p>
    <w:p>
      <w:pPr/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部门(单位)名称：  </w:t>
      </w:r>
      <w:r>
        <w:rPr>
          <w:rFonts w:hint="eastAsia" w:ascii="仿宋_GB2312" w:eastAsia="仿宋_GB2312"/>
          <w:sz w:val="32"/>
          <w:szCs w:val="32"/>
          <w:lang w:eastAsia="zh-CN"/>
        </w:rPr>
        <w:t>衡阳县医疗保障局</w:t>
      </w:r>
      <w:r>
        <w:rPr>
          <w:rFonts w:hint="eastAsia" w:ascii="仿宋_GB2312" w:eastAsia="仿宋_GB2312"/>
          <w:sz w:val="32"/>
          <w:szCs w:val="32"/>
        </w:rPr>
        <w:t xml:space="preserve">           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预算编码： 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704001</w:t>
      </w:r>
      <w:r>
        <w:rPr>
          <w:rFonts w:hint="eastAsia" w:ascii="仿宋_GB2312" w:eastAsia="仿宋_GB2312"/>
          <w:sz w:val="32"/>
          <w:szCs w:val="32"/>
        </w:rPr>
        <w:t xml:space="preserve">                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评价方式：部门（单位）自评</w:t>
      </w:r>
      <w:r>
        <w:rPr>
          <w:rFonts w:hint="eastAsia" w:ascii="仿宋_GB2312" w:eastAsia="仿宋_GB2312"/>
          <w:sz w:val="32"/>
          <w:szCs w:val="32"/>
        </w:rPr>
        <w:sym w:font="Wingdings 2" w:char="0052"/>
      </w:r>
      <w:r>
        <w:rPr>
          <w:rFonts w:hint="eastAsia" w:ascii="仿宋_GB2312" w:eastAsia="仿宋_GB2312"/>
          <w:sz w:val="32"/>
          <w:szCs w:val="32"/>
        </w:rPr>
        <w:t xml:space="preserve">  </w:t>
      </w:r>
    </w:p>
    <w:p>
      <w:pPr>
        <w:ind w:firstLine="2240" w:firstLineChars="7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中介机构评价□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评价机构：部门（单位）评价组</w:t>
      </w:r>
      <w:r>
        <w:rPr>
          <w:rFonts w:hint="eastAsia" w:ascii="仿宋_GB2312" w:eastAsia="仿宋_GB2312"/>
          <w:sz w:val="32"/>
          <w:szCs w:val="32"/>
        </w:rPr>
        <w:sym w:font="Wingdings 2" w:char="0052"/>
      </w:r>
    </w:p>
    <w:p>
      <w:pPr>
        <w:ind w:firstLine="2240" w:firstLineChars="7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中介机构□</w:t>
      </w:r>
    </w:p>
    <w:p>
      <w:pPr/>
    </w:p>
    <w:p>
      <w:pPr/>
    </w:p>
    <w:p>
      <w:pPr/>
    </w:p>
    <w:p>
      <w:pPr/>
    </w:p>
    <w:p>
      <w:pPr/>
    </w:p>
    <w:p>
      <w:pPr/>
    </w:p>
    <w:p>
      <w:pPr/>
    </w:p>
    <w:p>
      <w:pPr/>
    </w:p>
    <w:p>
      <w:pPr/>
    </w:p>
    <w:p>
      <w:pPr>
        <w:jc w:val="center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报告日期：    </w:t>
      </w:r>
      <w:r>
        <w:rPr>
          <w:rFonts w:hint="eastAsia" w:ascii="仿宋_GB2312" w:eastAsia="仿宋_GB2312"/>
          <w:sz w:val="32"/>
          <w:szCs w:val="32"/>
          <w:lang w:eastAsia="zh-CN"/>
        </w:rPr>
        <w:t>202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</w:t>
      </w:r>
      <w:r>
        <w:rPr>
          <w:rFonts w:hint="eastAsia" w:ascii="仿宋_GB2312" w:eastAsia="仿宋_GB2312"/>
          <w:sz w:val="32"/>
          <w:szCs w:val="32"/>
        </w:rPr>
        <w:t xml:space="preserve"> 年   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</w:t>
      </w:r>
      <w:r>
        <w:rPr>
          <w:rFonts w:hint="eastAsia" w:ascii="仿宋_GB2312" w:eastAsia="仿宋_GB2312"/>
          <w:sz w:val="32"/>
          <w:szCs w:val="32"/>
        </w:rPr>
        <w:t xml:space="preserve">月  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23</w:t>
      </w:r>
      <w:r>
        <w:rPr>
          <w:rFonts w:hint="eastAsia" w:ascii="仿宋_GB2312" w:eastAsia="仿宋_GB2312"/>
          <w:sz w:val="32"/>
          <w:szCs w:val="32"/>
        </w:rPr>
        <w:t xml:space="preserve"> 日</w:t>
      </w:r>
    </w:p>
    <w:p>
      <w:pPr>
        <w:jc w:val="center"/>
        <w:rPr>
          <w:rFonts w:ascii="仿宋_GB2312" w:eastAsia="仿宋_GB2312"/>
          <w:sz w:val="32"/>
          <w:szCs w:val="32"/>
        </w:rPr>
      </w:pPr>
    </w:p>
    <w:p>
      <w:pPr>
        <w:jc w:val="center"/>
        <w:rPr>
          <w:rFonts w:ascii="仿宋_GB2312" w:eastAsia="仿宋_GB2312"/>
          <w:sz w:val="32"/>
          <w:szCs w:val="32"/>
        </w:rPr>
      </w:pPr>
    </w:p>
    <w:p>
      <w:pPr>
        <w:jc w:val="center"/>
        <w:rPr>
          <w:rFonts w:ascii="仿宋_GB2312" w:eastAsia="仿宋_GB2312"/>
          <w:sz w:val="32"/>
          <w:szCs w:val="32"/>
        </w:rPr>
      </w:pPr>
    </w:p>
    <w:p>
      <w:pPr>
        <w:jc w:val="center"/>
        <w:rPr>
          <w:rFonts w:ascii="仿宋_GB2312" w:eastAsia="仿宋_GB2312"/>
          <w:sz w:val="32"/>
          <w:szCs w:val="32"/>
        </w:rPr>
      </w:pPr>
    </w:p>
    <w:p>
      <w:pPr>
        <w:ind w:firstLine="1000" w:firstLineChars="250"/>
        <w:rPr>
          <w:rFonts w:ascii="方正小标宋_GBK" w:eastAsia="方正小标宋_GBK"/>
          <w:sz w:val="40"/>
          <w:szCs w:val="40"/>
        </w:rPr>
      </w:pPr>
      <w:r>
        <w:rPr>
          <w:rFonts w:hint="eastAsia" w:ascii="方正小标宋_GBK" w:eastAsia="方正小标宋_GBK"/>
          <w:sz w:val="40"/>
          <w:szCs w:val="40"/>
        </w:rPr>
        <w:t>衡阳县</w:t>
      </w:r>
      <w:r>
        <w:rPr>
          <w:rFonts w:hint="eastAsia" w:ascii="方正小标宋_GBK" w:eastAsia="方正小标宋_GBK"/>
          <w:sz w:val="40"/>
          <w:szCs w:val="40"/>
          <w:lang w:eastAsia="zh-CN"/>
        </w:rPr>
        <w:t>医疗保障局202</w:t>
      </w:r>
      <w:r>
        <w:rPr>
          <w:rFonts w:hint="eastAsia" w:ascii="方正小标宋_GBK" w:eastAsia="方正小标宋_GBK"/>
          <w:sz w:val="40"/>
          <w:szCs w:val="40"/>
          <w:lang w:val="en-US" w:eastAsia="zh-CN"/>
        </w:rPr>
        <w:t>2</w:t>
      </w:r>
      <w:r>
        <w:rPr>
          <w:rFonts w:hint="eastAsia" w:ascii="方正小标宋_GBK" w:eastAsia="方正小标宋_GBK"/>
          <w:sz w:val="40"/>
          <w:szCs w:val="40"/>
          <w:lang w:eastAsia="zh-CN"/>
        </w:rPr>
        <w:t>年</w:t>
      </w:r>
      <w:r>
        <w:rPr>
          <w:rFonts w:hint="eastAsia" w:ascii="方正小标宋_GBK" w:eastAsia="方正小标宋_GBK"/>
          <w:sz w:val="40"/>
          <w:szCs w:val="40"/>
        </w:rPr>
        <w:t>部门整体支出</w:t>
      </w:r>
    </w:p>
    <w:p>
      <w:pPr>
        <w:jc w:val="center"/>
        <w:rPr>
          <w:rFonts w:ascii="方正小标宋_GBK" w:eastAsia="方正小标宋_GBK"/>
          <w:sz w:val="40"/>
          <w:szCs w:val="40"/>
        </w:rPr>
      </w:pPr>
      <w:r>
        <w:rPr>
          <w:rFonts w:hint="eastAsia" w:ascii="方正小标宋_GBK" w:eastAsia="方正小标宋_GBK"/>
          <w:sz w:val="40"/>
          <w:szCs w:val="40"/>
        </w:rPr>
        <w:t>绩效自评报告</w:t>
      </w:r>
    </w:p>
    <w:p>
      <w:pPr>
        <w:jc w:val="center"/>
        <w:rPr>
          <w:rFonts w:ascii="仿宋_GB2312" w:eastAsia="仿宋_GB2312"/>
          <w:sz w:val="32"/>
          <w:szCs w:val="32"/>
        </w:rPr>
      </w:pPr>
    </w:p>
    <w:p>
      <w:pPr>
        <w:pStyle w:val="9"/>
        <w:spacing w:line="605" w:lineRule="exact"/>
        <w:ind w:firstLine="801" w:firstLineChars="266"/>
        <w:jc w:val="both"/>
      </w:pPr>
      <w:r>
        <w:rPr>
          <w:b/>
          <w:bCs/>
        </w:rPr>
        <w:t>一</w:t>
      </w:r>
      <w:bookmarkEnd w:id="0"/>
      <w:r>
        <w:rPr>
          <w:b/>
          <w:bCs/>
        </w:rPr>
        <w:t>、</w:t>
      </w:r>
      <w:r>
        <w:rPr>
          <w:rFonts w:hint="eastAsia"/>
          <w:b/>
          <w:bCs/>
          <w:lang w:eastAsia="zh-CN"/>
        </w:rPr>
        <w:t>单位</w:t>
      </w:r>
      <w:r>
        <w:rPr>
          <w:b/>
          <w:bCs/>
        </w:rPr>
        <w:t>基本情况</w:t>
      </w:r>
    </w:p>
    <w:p>
      <w:pPr>
        <w:spacing w:line="600" w:lineRule="exact"/>
        <w:ind w:firstLine="640" w:firstLineChars="200"/>
        <w:jc w:val="both"/>
        <w:rPr>
          <w:rFonts w:hint="eastAsia" w:ascii="楷体" w:hAnsi="楷体" w:eastAsia="楷体" w:cs="楷体"/>
          <w:sz w:val="32"/>
          <w:szCs w:val="32"/>
          <w:lang w:eastAsia="zh-CN"/>
        </w:rPr>
      </w:pPr>
      <w:bookmarkStart w:id="1" w:name="bookmark1"/>
      <w:r>
        <w:rPr>
          <w:rFonts w:hint="eastAsia" w:ascii="楷体" w:hAnsi="楷体" w:eastAsia="楷体" w:cs="楷体"/>
          <w:sz w:val="32"/>
          <w:szCs w:val="32"/>
        </w:rPr>
        <w:t>（一）机构</w:t>
      </w:r>
      <w:r>
        <w:rPr>
          <w:rFonts w:hint="eastAsia" w:ascii="楷体" w:hAnsi="楷体" w:eastAsia="楷体" w:cs="楷体"/>
          <w:sz w:val="32"/>
          <w:szCs w:val="32"/>
          <w:lang w:eastAsia="zh-CN"/>
        </w:rPr>
        <w:t>设置情况</w:t>
      </w:r>
    </w:p>
    <w:p>
      <w:pPr>
        <w:spacing w:line="600" w:lineRule="exact"/>
        <w:ind w:firstLine="640" w:firstLineChars="200"/>
        <w:jc w:val="both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1、局</w:t>
      </w:r>
      <w:r>
        <w:rPr>
          <w:rFonts w:hint="eastAsia" w:ascii="仿宋" w:hAnsi="仿宋" w:eastAsia="仿宋" w:cs="仿宋"/>
          <w:sz w:val="32"/>
          <w:szCs w:val="32"/>
        </w:rPr>
        <w:t>机关共有内设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股室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6</w:t>
      </w:r>
      <w:r>
        <w:rPr>
          <w:rFonts w:hint="eastAsia" w:ascii="仿宋" w:hAnsi="仿宋" w:eastAsia="仿宋" w:cs="仿宋"/>
          <w:sz w:val="32"/>
          <w:szCs w:val="32"/>
        </w:rPr>
        <w:t>个：办公室、规划财务股、待遇保障股、医疗价格服务管理股、基金监管股、组织人事股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。</w:t>
      </w:r>
    </w:p>
    <w:p>
      <w:pPr>
        <w:spacing w:line="600" w:lineRule="exact"/>
        <w:ind w:firstLine="640" w:firstLineChars="200"/>
        <w:jc w:val="both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2、局</w:t>
      </w:r>
      <w:r>
        <w:rPr>
          <w:rFonts w:hint="eastAsia" w:ascii="仿宋" w:hAnsi="仿宋" w:eastAsia="仿宋" w:cs="仿宋"/>
          <w:sz w:val="32"/>
          <w:szCs w:val="32"/>
        </w:rPr>
        <w:t>机关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下属二级</w:t>
      </w:r>
      <w:r>
        <w:rPr>
          <w:rFonts w:hint="eastAsia" w:ascii="仿宋" w:hAnsi="仿宋" w:eastAsia="仿宋" w:cs="仿宋"/>
          <w:sz w:val="32"/>
          <w:szCs w:val="32"/>
        </w:rPr>
        <w:t>机构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</w:t>
      </w:r>
      <w:r>
        <w:rPr>
          <w:rFonts w:hint="eastAsia" w:ascii="仿宋" w:hAnsi="仿宋" w:eastAsia="仿宋" w:cs="仿宋"/>
          <w:sz w:val="32"/>
          <w:szCs w:val="32"/>
        </w:rPr>
        <w:t>个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：衡阳县医疗保障事务中心（副科级）。</w:t>
      </w:r>
    </w:p>
    <w:p>
      <w:pPr>
        <w:spacing w:line="600" w:lineRule="exact"/>
        <w:ind w:firstLine="640" w:firstLineChars="200"/>
        <w:jc w:val="both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3、受监管机构：衡阳县人民政府。</w:t>
      </w:r>
    </w:p>
    <w:p>
      <w:pPr>
        <w:pStyle w:val="2"/>
        <w:rPr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</w:t>
      </w:r>
      <w:r>
        <w:rPr>
          <w:rFonts w:hint="eastAsia" w:ascii="楷体" w:hAnsi="楷体" w:eastAsia="楷体" w:cs="楷体"/>
          <w:color w:val="000000"/>
          <w:sz w:val="32"/>
          <w:szCs w:val="32"/>
          <w:lang w:val="en-US" w:eastAsia="zh-CN" w:bidi="en-US"/>
        </w:rPr>
        <w:t>（二）人员编制情况</w:t>
      </w:r>
    </w:p>
    <w:p>
      <w:pPr>
        <w:spacing w:line="600" w:lineRule="exact"/>
        <w:ind w:firstLine="640" w:firstLineChars="200"/>
        <w:jc w:val="both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局</w:t>
      </w:r>
      <w:r>
        <w:rPr>
          <w:rFonts w:hint="eastAsia" w:ascii="仿宋" w:hAnsi="仿宋" w:eastAsia="仿宋" w:cs="仿宋"/>
          <w:sz w:val="32"/>
          <w:szCs w:val="32"/>
        </w:rPr>
        <w:t>机关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共有行政</w:t>
      </w:r>
      <w:r>
        <w:rPr>
          <w:rFonts w:hint="eastAsia" w:ascii="仿宋" w:hAnsi="仿宋" w:eastAsia="仿宋" w:cs="仿宋"/>
          <w:sz w:val="32"/>
          <w:szCs w:val="32"/>
        </w:rPr>
        <w:t>编制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12个</w:t>
      </w:r>
      <w:r>
        <w:rPr>
          <w:rFonts w:hint="eastAsia" w:ascii="仿宋" w:hAnsi="仿宋" w:eastAsia="仿宋" w:cs="仿宋"/>
          <w:sz w:val="32"/>
          <w:szCs w:val="32"/>
        </w:rPr>
        <w:t>，实有在职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在编</w:t>
      </w:r>
      <w:r>
        <w:rPr>
          <w:rFonts w:hint="eastAsia" w:ascii="仿宋" w:hAnsi="仿宋" w:eastAsia="仿宋" w:cs="仿宋"/>
          <w:sz w:val="32"/>
          <w:szCs w:val="32"/>
        </w:rPr>
        <w:t>人数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11</w:t>
      </w:r>
      <w:r>
        <w:rPr>
          <w:rFonts w:hint="eastAsia" w:ascii="仿宋" w:hAnsi="仿宋" w:eastAsia="仿宋" w:cs="仿宋"/>
          <w:sz w:val="32"/>
          <w:szCs w:val="32"/>
        </w:rPr>
        <w:t>人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年末实有退休人员1人。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（从医保中心借调了工作人员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20人。）</w:t>
      </w:r>
    </w:p>
    <w:p>
      <w:pPr>
        <w:spacing w:line="600" w:lineRule="exact"/>
        <w:ind w:firstLine="640" w:firstLineChars="200"/>
        <w:jc w:val="both"/>
        <w:rPr>
          <w:rFonts w:ascii="楷体" w:hAnsi="楷体" w:eastAsia="楷体" w:cs="楷体"/>
          <w:sz w:val="32"/>
          <w:szCs w:val="32"/>
          <w:lang w:eastAsia="zh-CN"/>
        </w:rPr>
      </w:pPr>
      <w:r>
        <w:rPr>
          <w:rFonts w:hint="eastAsia" w:ascii="楷体" w:hAnsi="楷体" w:eastAsia="楷体" w:cs="楷体"/>
          <w:sz w:val="32"/>
          <w:szCs w:val="32"/>
        </w:rPr>
        <w:t>（</w:t>
      </w:r>
      <w:r>
        <w:rPr>
          <w:rFonts w:hint="eastAsia" w:ascii="楷体" w:hAnsi="楷体" w:eastAsia="楷体" w:cs="楷体"/>
          <w:sz w:val="32"/>
          <w:szCs w:val="32"/>
          <w:lang w:eastAsia="zh-CN"/>
        </w:rPr>
        <w:t>三</w:t>
      </w:r>
      <w:r>
        <w:rPr>
          <w:rFonts w:hint="eastAsia" w:ascii="楷体" w:hAnsi="楷体" w:eastAsia="楷体" w:cs="楷体"/>
          <w:sz w:val="32"/>
          <w:szCs w:val="32"/>
        </w:rPr>
        <w:t>）</w:t>
      </w:r>
      <w:r>
        <w:rPr>
          <w:rFonts w:hint="eastAsia" w:ascii="楷体" w:hAnsi="楷体" w:eastAsia="楷体" w:cs="楷体"/>
          <w:sz w:val="32"/>
          <w:szCs w:val="32"/>
          <w:lang w:eastAsia="zh-CN"/>
        </w:rPr>
        <w:t>主要职责职能</w:t>
      </w:r>
    </w:p>
    <w:bookmarkEnd w:id="1"/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1、</w:t>
      </w:r>
      <w:r>
        <w:rPr>
          <w:rFonts w:hint="eastAsia" w:ascii="仿宋" w:hAnsi="仿宋" w:eastAsia="仿宋" w:cs="仿宋"/>
          <w:sz w:val="32"/>
          <w:szCs w:val="32"/>
        </w:rPr>
        <w:t>贯彻执行国家、省、市有关职工、城乡居民、生育、医疗救助的法律法规和政策，并组织实施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。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2、</w:t>
      </w:r>
      <w:r>
        <w:rPr>
          <w:rFonts w:hint="eastAsia" w:ascii="仿宋" w:hAnsi="仿宋" w:eastAsia="仿宋" w:cs="仿宋"/>
          <w:sz w:val="32"/>
          <w:szCs w:val="32"/>
        </w:rPr>
        <w:t>建立健全医疗保障基金安全防控机制，推进医疗保障基金支付方式改革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。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3、</w:t>
      </w:r>
      <w:r>
        <w:rPr>
          <w:rFonts w:hint="eastAsia" w:ascii="仿宋" w:hAnsi="仿宋" w:eastAsia="仿宋" w:cs="仿宋"/>
          <w:sz w:val="32"/>
          <w:szCs w:val="32"/>
        </w:rPr>
        <w:t>执行和配合国家、省、市药品和医用耗材的采购以及医疗服务项目、医疗服务设施的定价，对医疗机构的设备设施招标采购的监督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。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4、</w:t>
      </w:r>
      <w:r>
        <w:rPr>
          <w:rFonts w:hint="eastAsia" w:ascii="仿宋" w:hAnsi="仿宋" w:eastAsia="仿宋" w:cs="仿宋"/>
          <w:sz w:val="32"/>
          <w:szCs w:val="32"/>
        </w:rPr>
        <w:t>指导和监督经办机构开展医疗保障业务工作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。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5、</w:t>
      </w:r>
      <w:r>
        <w:rPr>
          <w:rFonts w:hint="eastAsia" w:ascii="仿宋" w:hAnsi="仿宋" w:eastAsia="仿宋" w:cs="仿宋"/>
          <w:sz w:val="32"/>
          <w:szCs w:val="32"/>
        </w:rPr>
        <w:t>推进医疗、医保、医药“三医联动”改革，保障人民群众就医要求，减轻医药费负担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。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6、</w:t>
      </w:r>
      <w:r>
        <w:rPr>
          <w:rFonts w:hint="eastAsia" w:ascii="仿宋" w:hAnsi="仿宋" w:eastAsia="仿宋" w:cs="仿宋"/>
          <w:sz w:val="32"/>
          <w:szCs w:val="32"/>
        </w:rPr>
        <w:t>完成县委、政府及上级主管部门交办的其他任务。</w:t>
      </w:r>
    </w:p>
    <w:p>
      <w:pPr>
        <w:pStyle w:val="2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/>
          <w:color w:val="000000"/>
          <w:sz w:val="32"/>
          <w:szCs w:val="32"/>
          <w:lang w:val="en-US" w:eastAsia="zh-CN" w:bidi="en-US"/>
        </w:rPr>
        <w:t>（四）绩效目标设定情况</w:t>
      </w:r>
    </w:p>
    <w:p>
      <w:pPr>
        <w:snapToGrid w:val="0"/>
        <w:spacing w:line="52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在本年度收支预算内，确保完成以下整体目标：</w:t>
      </w:r>
    </w:p>
    <w:p>
      <w:pPr>
        <w:snapToGrid w:val="0"/>
        <w:spacing w:line="520" w:lineRule="exac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</w:t>
      </w:r>
      <w:bookmarkStart w:id="8" w:name="_GoBack"/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1、抓征缴，巩固提高参保率。城乡居民医保参保人数930000人，贫困人员参保人数45000人，城镇职工医保参保人数52490人。</w:t>
      </w:r>
    </w:p>
    <w:p>
      <w:pPr>
        <w:snapToGrid w:val="0"/>
        <w:spacing w:line="520" w:lineRule="exac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2、深化医保支付方式改革。</w:t>
      </w:r>
    </w:p>
    <w:p>
      <w:pPr>
        <w:snapToGrid w:val="0"/>
        <w:spacing w:line="520" w:lineRule="exact"/>
        <w:ind w:firstLine="640" w:firstLineChars="200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3、加强医保基金监管。</w:t>
      </w:r>
    </w:p>
    <w:p>
      <w:pPr>
        <w:snapToGrid w:val="0"/>
        <w:spacing w:line="52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4、抓保障，维护参保群众利益。</w:t>
      </w:r>
    </w:p>
    <w:bookmarkEnd w:id="8"/>
    <w:p>
      <w:pPr>
        <w:snapToGrid w:val="0"/>
        <w:spacing w:line="520" w:lineRule="exact"/>
        <w:ind w:firstLine="640" w:firstLineChars="200"/>
        <w:rPr>
          <w:rFonts w:hint="eastAsia" w:ascii="仿宋" w:hAnsi="仿宋" w:eastAsia="仿宋" w:cs="Times New Roman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Times New Roman"/>
          <w:b w:val="0"/>
          <w:bCs w:val="0"/>
          <w:color w:val="auto"/>
          <w:sz w:val="32"/>
          <w:szCs w:val="32"/>
          <w:lang w:val="en-US" w:eastAsia="zh-CN"/>
        </w:rPr>
        <w:t>2022年实际完成情况：</w:t>
      </w:r>
    </w:p>
    <w:p>
      <w:pPr>
        <w:snapToGrid w:val="0"/>
        <w:spacing w:line="520" w:lineRule="exact"/>
        <w:ind w:firstLine="640" w:firstLineChars="200"/>
        <w:rPr>
          <w:rFonts w:hint="eastAsia" w:ascii="仿宋" w:hAnsi="仿宋" w:eastAsia="仿宋" w:cs="Times New Roman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Times New Roman"/>
          <w:color w:val="auto"/>
          <w:sz w:val="32"/>
          <w:szCs w:val="32"/>
          <w:lang w:val="en-US" w:eastAsia="zh-CN"/>
        </w:rPr>
        <w:t>目标1：全部完成。</w:t>
      </w:r>
    </w:p>
    <w:p>
      <w:pPr>
        <w:snapToGrid w:val="0"/>
        <w:spacing w:line="520" w:lineRule="exact"/>
        <w:ind w:firstLine="640" w:firstLineChars="200"/>
        <w:rPr>
          <w:rFonts w:hint="eastAsia" w:ascii="仿宋" w:hAnsi="仿宋" w:eastAsia="仿宋" w:cs="Times New Roman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Times New Roman"/>
          <w:color w:val="auto"/>
          <w:sz w:val="32"/>
          <w:szCs w:val="32"/>
          <w:lang w:val="en-US" w:eastAsia="zh-CN"/>
        </w:rPr>
        <w:t>目标2：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药品集采、新版药品目录及医用耗材集采工作、医疗服务价格修订和支付改革政策全部完成</w:t>
      </w:r>
      <w:r>
        <w:rPr>
          <w:rFonts w:hint="eastAsia" w:ascii="仿宋_GB2312" w:hAnsi="仿宋_GB2312" w:eastAsia="仿宋_GB2312" w:cs="仿宋_GB2312"/>
          <w:b/>
          <w:bCs/>
          <w:kern w:val="2"/>
          <w:sz w:val="32"/>
          <w:szCs w:val="32"/>
          <w:lang w:val="en-US" w:eastAsia="zh-CN" w:bidi="ar-SA"/>
        </w:rPr>
        <w:t>。</w:t>
      </w:r>
    </w:p>
    <w:p>
      <w:pPr>
        <w:snapToGrid w:val="0"/>
        <w:spacing w:line="520" w:lineRule="exact"/>
        <w:ind w:firstLine="640" w:firstLineChars="200"/>
        <w:rPr>
          <w:rFonts w:hint="eastAsia" w:ascii="仿宋" w:hAnsi="仿宋" w:eastAsia="仿宋" w:cs="Times New Roman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Times New Roman"/>
          <w:color w:val="auto"/>
          <w:sz w:val="32"/>
          <w:szCs w:val="32"/>
          <w:lang w:val="en-US" w:eastAsia="zh-CN"/>
        </w:rPr>
        <w:t>目标3：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积极开展了“打击欺诈骗保套保挪用贪占医保基金集中整治”活动，效果明显。</w:t>
      </w:r>
    </w:p>
    <w:p>
      <w:pPr>
        <w:snapToGrid w:val="0"/>
        <w:spacing w:line="52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" w:hAnsi="仿宋" w:eastAsia="仿宋" w:cs="Times New Roman"/>
          <w:color w:val="auto"/>
          <w:sz w:val="32"/>
          <w:szCs w:val="32"/>
          <w:lang w:val="en-US" w:eastAsia="zh-CN"/>
        </w:rPr>
        <w:t>目标4：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全面落实医保待遇，确保参保群众应享尽享；巩固拓展医保扶贫，有效衔接乡村振兴战略。</w:t>
      </w:r>
    </w:p>
    <w:p>
      <w:pPr>
        <w:spacing w:line="600" w:lineRule="exact"/>
        <w:ind w:firstLine="640" w:firstLineChars="200"/>
        <w:jc w:val="both"/>
        <w:rPr>
          <w:rFonts w:ascii="黑体" w:hAnsi="黑体" w:eastAsia="黑体" w:cs="黑体"/>
          <w:bCs/>
          <w:sz w:val="32"/>
          <w:szCs w:val="32"/>
          <w:lang w:val="zh-CN"/>
        </w:rPr>
      </w:pPr>
      <w:r>
        <w:rPr>
          <w:rFonts w:hint="eastAsia" w:ascii="黑体" w:hAnsi="黑体" w:eastAsia="黑体" w:cs="黑体"/>
          <w:bCs/>
          <w:sz w:val="32"/>
          <w:szCs w:val="32"/>
        </w:rPr>
        <w:t>二、</w:t>
      </w:r>
      <w:r>
        <w:rPr>
          <w:rFonts w:hint="eastAsia" w:ascii="黑体" w:hAnsi="黑体" w:eastAsia="黑体" w:cs="黑体"/>
          <w:bCs/>
          <w:sz w:val="32"/>
          <w:szCs w:val="32"/>
          <w:lang w:eastAsia="zh-CN"/>
        </w:rPr>
        <w:t>一般公共预算支出情况</w:t>
      </w:r>
    </w:p>
    <w:p>
      <w:pPr>
        <w:spacing w:line="600" w:lineRule="exact"/>
        <w:ind w:firstLine="640" w:firstLineChars="200"/>
        <w:jc w:val="both"/>
        <w:rPr>
          <w:rFonts w:hint="eastAsia" w:ascii="楷体" w:hAnsi="楷体" w:eastAsia="楷体" w:cs="楷体"/>
          <w:bCs/>
          <w:sz w:val="32"/>
          <w:szCs w:val="32"/>
          <w:shd w:val="clear" w:color="auto" w:fill="FFFFFF"/>
          <w:lang w:eastAsia="zh-CN"/>
        </w:rPr>
      </w:pPr>
      <w:r>
        <w:rPr>
          <w:rFonts w:hint="eastAsia" w:ascii="楷体" w:hAnsi="楷体" w:eastAsia="楷体" w:cs="楷体"/>
          <w:bCs/>
          <w:sz w:val="32"/>
          <w:szCs w:val="32"/>
          <w:shd w:val="clear" w:color="auto" w:fill="FFFFFF"/>
        </w:rPr>
        <w:t>（一）</w:t>
      </w:r>
      <w:r>
        <w:rPr>
          <w:rFonts w:hint="eastAsia" w:ascii="楷体" w:hAnsi="楷体" w:eastAsia="楷体" w:cs="楷体"/>
          <w:bCs/>
          <w:sz w:val="32"/>
          <w:szCs w:val="32"/>
          <w:shd w:val="clear" w:color="auto" w:fill="FFFFFF"/>
          <w:lang w:eastAsia="zh-CN"/>
        </w:rPr>
        <w:t>经批复的预、决算情况</w:t>
      </w:r>
    </w:p>
    <w:p>
      <w:pPr>
        <w:spacing w:line="600" w:lineRule="exact"/>
        <w:ind w:firstLine="640" w:firstLineChars="200"/>
        <w:jc w:val="both"/>
        <w:rPr>
          <w:rFonts w:ascii="仿宋" w:hAnsi="仿宋" w:eastAsia="仿宋" w:cs="仿宋"/>
          <w:b/>
          <w:sz w:val="32"/>
          <w:szCs w:val="32"/>
        </w:rPr>
      </w:pPr>
      <w:r>
        <w:rPr>
          <w:rFonts w:hint="eastAsia" w:ascii="仿宋" w:hAnsi="仿宋" w:eastAsia="仿宋" w:cs="仿宋"/>
          <w:b/>
          <w:sz w:val="32"/>
          <w:szCs w:val="32"/>
        </w:rPr>
        <w:t>1.部门预算收支情况</w:t>
      </w:r>
    </w:p>
    <w:p>
      <w:pPr>
        <w:spacing w:line="600" w:lineRule="exact"/>
        <w:ind w:firstLine="640" w:firstLineChars="200"/>
        <w:jc w:val="both"/>
        <w:rPr>
          <w:rFonts w:ascii="仿宋" w:hAnsi="仿宋" w:eastAsia="仿宋" w:cs="仿宋"/>
          <w:bCs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bCs/>
          <w:sz w:val="32"/>
          <w:szCs w:val="32"/>
        </w:rPr>
        <w:t>20</w:t>
      </w:r>
      <w:r>
        <w:rPr>
          <w:rFonts w:hint="eastAsia" w:ascii="仿宋" w:hAnsi="仿宋" w:eastAsia="仿宋" w:cs="仿宋"/>
          <w:bCs/>
          <w:sz w:val="32"/>
          <w:szCs w:val="32"/>
          <w:lang w:eastAsia="zh-CN"/>
        </w:rPr>
        <w:t>2</w:t>
      </w:r>
      <w:r>
        <w:rPr>
          <w:rFonts w:hint="eastAsia" w:ascii="仿宋" w:hAnsi="仿宋" w:eastAsia="仿宋" w:cs="仿宋"/>
          <w:bCs/>
          <w:sz w:val="32"/>
          <w:szCs w:val="32"/>
          <w:lang w:val="en-US" w:eastAsia="zh-CN"/>
        </w:rPr>
        <w:t>2</w:t>
      </w:r>
      <w:r>
        <w:rPr>
          <w:rFonts w:hint="eastAsia" w:ascii="仿宋" w:hAnsi="仿宋" w:eastAsia="仿宋" w:cs="仿宋"/>
          <w:bCs/>
          <w:sz w:val="32"/>
          <w:szCs w:val="32"/>
        </w:rPr>
        <w:t>年，本部门年初预算收入</w:t>
      </w:r>
      <w:r>
        <w:rPr>
          <w:rFonts w:hint="eastAsia" w:ascii="仿宋" w:hAnsi="仿宋" w:eastAsia="仿宋" w:cs="仿宋"/>
          <w:bCs/>
          <w:sz w:val="32"/>
          <w:szCs w:val="32"/>
          <w:lang w:val="en-US" w:eastAsia="zh-CN"/>
        </w:rPr>
        <w:t>250.64</w:t>
      </w:r>
      <w:r>
        <w:rPr>
          <w:rFonts w:hint="eastAsia" w:ascii="仿宋" w:hAnsi="仿宋" w:eastAsia="仿宋" w:cs="仿宋"/>
          <w:bCs/>
          <w:sz w:val="32"/>
          <w:szCs w:val="32"/>
        </w:rPr>
        <w:t>万元，其中：一般公共预算财政拨款收入年初预算</w:t>
      </w:r>
      <w:r>
        <w:rPr>
          <w:rFonts w:hint="eastAsia" w:ascii="仿宋" w:hAnsi="仿宋" w:eastAsia="仿宋" w:cs="仿宋"/>
          <w:bCs/>
          <w:sz w:val="32"/>
          <w:szCs w:val="32"/>
          <w:lang w:val="en-US" w:eastAsia="zh-CN"/>
        </w:rPr>
        <w:t>250.64</w:t>
      </w:r>
      <w:r>
        <w:rPr>
          <w:rFonts w:hint="eastAsia" w:ascii="仿宋" w:hAnsi="仿宋" w:eastAsia="仿宋" w:cs="仿宋"/>
          <w:bCs/>
          <w:sz w:val="32"/>
          <w:szCs w:val="32"/>
        </w:rPr>
        <w:t>万元</w:t>
      </w:r>
      <w:r>
        <w:rPr>
          <w:rFonts w:hint="eastAsia" w:ascii="仿宋" w:hAnsi="仿宋" w:eastAsia="仿宋" w:cs="仿宋"/>
          <w:bCs/>
          <w:sz w:val="32"/>
          <w:szCs w:val="32"/>
          <w:lang w:eastAsia="zh-CN"/>
        </w:rPr>
        <w:t>；202</w:t>
      </w:r>
      <w:r>
        <w:rPr>
          <w:rFonts w:hint="eastAsia" w:ascii="仿宋" w:hAnsi="仿宋" w:eastAsia="仿宋" w:cs="仿宋"/>
          <w:bCs/>
          <w:sz w:val="32"/>
          <w:szCs w:val="32"/>
          <w:lang w:val="en-US" w:eastAsia="zh-CN"/>
        </w:rPr>
        <w:t>2</w:t>
      </w:r>
      <w:r>
        <w:rPr>
          <w:rFonts w:hint="eastAsia" w:ascii="仿宋" w:hAnsi="仿宋" w:eastAsia="仿宋" w:cs="仿宋"/>
          <w:bCs/>
          <w:sz w:val="32"/>
          <w:szCs w:val="32"/>
          <w:lang w:eastAsia="zh-CN"/>
        </w:rPr>
        <w:t>年年中调整部分指标增拨一般财政拨款</w:t>
      </w:r>
      <w:r>
        <w:rPr>
          <w:rFonts w:hint="eastAsia" w:ascii="仿宋" w:hAnsi="仿宋" w:eastAsia="仿宋" w:cs="仿宋"/>
          <w:bCs/>
          <w:sz w:val="32"/>
          <w:szCs w:val="32"/>
          <w:lang w:val="en-US" w:eastAsia="zh-CN"/>
        </w:rPr>
        <w:t>429.64</w:t>
      </w:r>
      <w:r>
        <w:rPr>
          <w:rFonts w:hint="eastAsia" w:ascii="仿宋" w:hAnsi="仿宋" w:eastAsia="仿宋" w:cs="仿宋"/>
          <w:bCs/>
          <w:sz w:val="32"/>
          <w:szCs w:val="32"/>
          <w:lang w:eastAsia="zh-CN"/>
        </w:rPr>
        <w:t>万元，其他收入</w:t>
      </w:r>
      <w:r>
        <w:rPr>
          <w:rFonts w:hint="eastAsia" w:ascii="仿宋" w:hAnsi="仿宋" w:eastAsia="仿宋" w:cs="仿宋"/>
          <w:bCs/>
          <w:sz w:val="32"/>
          <w:szCs w:val="32"/>
          <w:lang w:val="en-US" w:eastAsia="zh-CN"/>
        </w:rPr>
        <w:t>6.3万元，</w:t>
      </w:r>
      <w:r>
        <w:rPr>
          <w:rFonts w:hint="eastAsia" w:ascii="仿宋" w:hAnsi="仿宋" w:eastAsia="仿宋" w:cs="仿宋"/>
          <w:bCs/>
          <w:sz w:val="32"/>
          <w:szCs w:val="32"/>
          <w:lang w:eastAsia="zh-CN"/>
        </w:rPr>
        <w:t>202</w:t>
      </w:r>
      <w:r>
        <w:rPr>
          <w:rFonts w:hint="eastAsia" w:ascii="仿宋" w:hAnsi="仿宋" w:eastAsia="仿宋" w:cs="仿宋"/>
          <w:bCs/>
          <w:sz w:val="32"/>
          <w:szCs w:val="32"/>
          <w:lang w:val="en-US" w:eastAsia="zh-CN"/>
        </w:rPr>
        <w:t>2</w:t>
      </w:r>
      <w:r>
        <w:rPr>
          <w:rFonts w:hint="eastAsia" w:ascii="仿宋" w:hAnsi="仿宋" w:eastAsia="仿宋" w:cs="仿宋"/>
          <w:bCs/>
          <w:sz w:val="32"/>
          <w:szCs w:val="32"/>
          <w:lang w:eastAsia="zh-CN"/>
        </w:rPr>
        <w:t>年当年收入</w:t>
      </w:r>
      <w:r>
        <w:rPr>
          <w:rFonts w:hint="eastAsia" w:ascii="仿宋" w:hAnsi="仿宋" w:eastAsia="仿宋" w:cs="仿宋"/>
          <w:bCs/>
          <w:sz w:val="32"/>
          <w:szCs w:val="32"/>
          <w:lang w:val="en-US" w:eastAsia="zh-CN"/>
        </w:rPr>
        <w:t>686.58</w:t>
      </w:r>
      <w:r>
        <w:rPr>
          <w:rFonts w:hint="eastAsia" w:ascii="仿宋" w:hAnsi="仿宋" w:eastAsia="仿宋" w:cs="仿宋"/>
          <w:bCs/>
          <w:sz w:val="32"/>
          <w:szCs w:val="32"/>
          <w:lang w:eastAsia="zh-CN"/>
        </w:rPr>
        <w:t>万元；上年度财政指标结转</w:t>
      </w:r>
      <w:r>
        <w:rPr>
          <w:rFonts w:hint="eastAsia" w:ascii="仿宋" w:hAnsi="仿宋" w:eastAsia="仿宋" w:cs="仿宋"/>
          <w:bCs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bCs/>
          <w:sz w:val="32"/>
          <w:szCs w:val="32"/>
          <w:lang w:eastAsia="zh-CN"/>
        </w:rPr>
        <w:t>万元；全年收入总计</w:t>
      </w:r>
      <w:r>
        <w:rPr>
          <w:rFonts w:hint="eastAsia" w:ascii="仿宋" w:hAnsi="仿宋" w:eastAsia="仿宋" w:cs="仿宋"/>
          <w:bCs/>
          <w:sz w:val="32"/>
          <w:szCs w:val="32"/>
          <w:lang w:val="en-US" w:eastAsia="zh-CN"/>
        </w:rPr>
        <w:t>686.58万元。</w:t>
      </w:r>
    </w:p>
    <w:p>
      <w:pPr>
        <w:spacing w:line="600" w:lineRule="exact"/>
        <w:ind w:firstLine="640" w:firstLineChars="200"/>
        <w:jc w:val="both"/>
        <w:rPr>
          <w:rFonts w:ascii="仿宋" w:hAnsi="仿宋" w:eastAsia="仿宋" w:cs="仿宋"/>
          <w:bCs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bCs/>
          <w:sz w:val="32"/>
          <w:szCs w:val="32"/>
        </w:rPr>
        <w:t>20</w:t>
      </w:r>
      <w:r>
        <w:rPr>
          <w:rFonts w:hint="eastAsia" w:ascii="仿宋" w:hAnsi="仿宋" w:eastAsia="仿宋" w:cs="仿宋"/>
          <w:bCs/>
          <w:sz w:val="32"/>
          <w:szCs w:val="32"/>
          <w:lang w:eastAsia="zh-CN"/>
        </w:rPr>
        <w:t>2</w:t>
      </w:r>
      <w:r>
        <w:rPr>
          <w:rFonts w:hint="eastAsia" w:ascii="仿宋" w:hAnsi="仿宋" w:eastAsia="仿宋" w:cs="仿宋"/>
          <w:bCs/>
          <w:sz w:val="32"/>
          <w:szCs w:val="32"/>
          <w:lang w:val="en-US" w:eastAsia="zh-CN"/>
        </w:rPr>
        <w:t>2</w:t>
      </w:r>
      <w:r>
        <w:rPr>
          <w:rFonts w:hint="eastAsia" w:ascii="仿宋" w:hAnsi="仿宋" w:eastAsia="仿宋" w:cs="仿宋"/>
          <w:bCs/>
          <w:sz w:val="32"/>
          <w:szCs w:val="32"/>
        </w:rPr>
        <w:t>年，本部门年初预算支出</w:t>
      </w:r>
      <w:r>
        <w:rPr>
          <w:rFonts w:hint="eastAsia" w:ascii="仿宋" w:hAnsi="仿宋" w:eastAsia="仿宋" w:cs="仿宋"/>
          <w:bCs/>
          <w:sz w:val="32"/>
          <w:szCs w:val="32"/>
          <w:lang w:val="en-US" w:eastAsia="zh-CN"/>
        </w:rPr>
        <w:t>250.64</w:t>
      </w:r>
      <w:r>
        <w:rPr>
          <w:rFonts w:hint="eastAsia" w:ascii="仿宋" w:hAnsi="仿宋" w:eastAsia="仿宋" w:cs="仿宋"/>
          <w:bCs/>
          <w:sz w:val="32"/>
          <w:szCs w:val="32"/>
        </w:rPr>
        <w:t>万元，其中：基本</w:t>
      </w:r>
      <w:r>
        <w:rPr>
          <w:rFonts w:hint="eastAsia" w:ascii="仿宋" w:hAnsi="仿宋" w:eastAsia="仿宋" w:cs="仿宋"/>
          <w:bCs/>
          <w:sz w:val="32"/>
          <w:szCs w:val="32"/>
          <w:lang w:val="zh-CN"/>
        </w:rPr>
        <w:t>支出</w:t>
      </w:r>
      <w:r>
        <w:rPr>
          <w:rFonts w:hint="eastAsia" w:ascii="仿宋" w:hAnsi="仿宋" w:eastAsia="仿宋" w:cs="仿宋"/>
          <w:bCs/>
          <w:sz w:val="32"/>
          <w:szCs w:val="32"/>
        </w:rPr>
        <w:t>年初预算</w:t>
      </w:r>
      <w:r>
        <w:rPr>
          <w:rFonts w:hint="eastAsia" w:ascii="仿宋" w:hAnsi="仿宋" w:eastAsia="仿宋" w:cs="仿宋"/>
          <w:bCs/>
          <w:sz w:val="32"/>
          <w:szCs w:val="32"/>
          <w:lang w:val="en-US" w:eastAsia="zh-CN"/>
        </w:rPr>
        <w:t>250.64</w:t>
      </w:r>
      <w:r>
        <w:rPr>
          <w:rFonts w:hint="eastAsia" w:ascii="仿宋" w:hAnsi="仿宋" w:eastAsia="仿宋" w:cs="仿宋"/>
          <w:bCs/>
          <w:sz w:val="32"/>
          <w:szCs w:val="32"/>
        </w:rPr>
        <w:t>万元</w:t>
      </w:r>
      <w:r>
        <w:rPr>
          <w:rFonts w:hint="eastAsia" w:ascii="仿宋" w:hAnsi="仿宋" w:eastAsia="仿宋" w:cs="仿宋"/>
          <w:bCs/>
          <w:sz w:val="32"/>
          <w:szCs w:val="32"/>
          <w:lang w:eastAsia="zh-CN"/>
        </w:rPr>
        <w:t>，无项目支出</w:t>
      </w:r>
      <w:r>
        <w:rPr>
          <w:rFonts w:hint="eastAsia" w:ascii="仿宋" w:hAnsi="仿宋" w:eastAsia="仿宋" w:cs="仿宋"/>
          <w:bCs/>
          <w:sz w:val="32"/>
          <w:szCs w:val="32"/>
        </w:rPr>
        <w:t>。</w:t>
      </w:r>
      <w:r>
        <w:rPr>
          <w:rFonts w:hint="eastAsia" w:ascii="仿宋" w:hAnsi="仿宋" w:eastAsia="仿宋" w:cs="仿宋"/>
          <w:bCs/>
          <w:sz w:val="32"/>
          <w:szCs w:val="32"/>
          <w:lang w:eastAsia="zh-CN"/>
        </w:rPr>
        <w:t>202</w:t>
      </w:r>
      <w:r>
        <w:rPr>
          <w:rFonts w:hint="eastAsia" w:ascii="仿宋" w:hAnsi="仿宋" w:eastAsia="仿宋" w:cs="仿宋"/>
          <w:bCs/>
          <w:sz w:val="32"/>
          <w:szCs w:val="32"/>
          <w:lang w:val="en-US" w:eastAsia="zh-CN"/>
        </w:rPr>
        <w:t>2</w:t>
      </w:r>
      <w:r>
        <w:rPr>
          <w:rFonts w:hint="eastAsia" w:ascii="仿宋" w:hAnsi="仿宋" w:eastAsia="仿宋" w:cs="仿宋"/>
          <w:bCs/>
          <w:sz w:val="32"/>
          <w:szCs w:val="32"/>
          <w:lang w:eastAsia="zh-CN"/>
        </w:rPr>
        <w:t>年全年支出总计</w:t>
      </w:r>
      <w:r>
        <w:rPr>
          <w:rFonts w:hint="eastAsia" w:ascii="仿宋" w:hAnsi="仿宋" w:eastAsia="仿宋" w:cs="仿宋"/>
          <w:bCs/>
          <w:sz w:val="32"/>
          <w:szCs w:val="32"/>
          <w:lang w:val="en-US" w:eastAsia="zh-CN"/>
        </w:rPr>
        <w:t>686.58</w:t>
      </w:r>
      <w:r>
        <w:rPr>
          <w:rFonts w:hint="eastAsia" w:ascii="仿宋" w:hAnsi="仿宋" w:eastAsia="仿宋" w:cs="仿宋"/>
          <w:bCs/>
          <w:sz w:val="32"/>
          <w:szCs w:val="32"/>
          <w:lang w:eastAsia="zh-CN"/>
        </w:rPr>
        <w:t>万元。</w:t>
      </w:r>
    </w:p>
    <w:p>
      <w:pPr>
        <w:spacing w:line="600" w:lineRule="exact"/>
        <w:ind w:firstLine="640" w:firstLineChars="200"/>
        <w:jc w:val="both"/>
        <w:rPr>
          <w:rFonts w:ascii="仿宋" w:hAnsi="仿宋" w:eastAsia="仿宋" w:cs="仿宋"/>
          <w:bCs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bCs/>
          <w:sz w:val="32"/>
          <w:szCs w:val="32"/>
          <w:lang w:eastAsia="zh-CN"/>
        </w:rPr>
        <w:t>202</w:t>
      </w:r>
      <w:r>
        <w:rPr>
          <w:rFonts w:hint="eastAsia" w:ascii="仿宋" w:hAnsi="仿宋" w:eastAsia="仿宋" w:cs="仿宋"/>
          <w:bCs/>
          <w:sz w:val="32"/>
          <w:szCs w:val="32"/>
          <w:lang w:val="en-US" w:eastAsia="zh-CN"/>
        </w:rPr>
        <w:t>2</w:t>
      </w:r>
      <w:r>
        <w:rPr>
          <w:rFonts w:hint="eastAsia" w:ascii="仿宋" w:hAnsi="仿宋" w:eastAsia="仿宋" w:cs="仿宋"/>
          <w:bCs/>
          <w:sz w:val="32"/>
          <w:szCs w:val="32"/>
          <w:lang w:eastAsia="zh-CN"/>
        </w:rPr>
        <w:t>年末一般公共预算财政拨款结余</w:t>
      </w:r>
      <w:r>
        <w:rPr>
          <w:rFonts w:hint="eastAsia" w:ascii="仿宋" w:hAnsi="仿宋" w:eastAsia="仿宋" w:cs="仿宋"/>
          <w:bCs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bCs/>
          <w:sz w:val="32"/>
          <w:szCs w:val="32"/>
          <w:lang w:eastAsia="zh-CN"/>
        </w:rPr>
        <w:t>万元</w:t>
      </w:r>
      <w:r>
        <w:rPr>
          <w:rFonts w:hint="eastAsia" w:ascii="仿宋" w:hAnsi="仿宋" w:eastAsia="仿宋" w:cs="仿宋"/>
          <w:bCs/>
          <w:sz w:val="32"/>
          <w:szCs w:val="32"/>
          <w:lang w:val="en-US" w:eastAsia="zh-CN"/>
        </w:rPr>
        <w:t>。</w:t>
      </w:r>
    </w:p>
    <w:p>
      <w:pPr>
        <w:spacing w:line="600" w:lineRule="exact"/>
        <w:ind w:firstLine="640" w:firstLineChars="200"/>
        <w:jc w:val="both"/>
        <w:rPr>
          <w:rFonts w:ascii="仿宋" w:hAnsi="仿宋" w:eastAsia="仿宋" w:cs="仿宋"/>
          <w:b/>
          <w:sz w:val="32"/>
          <w:szCs w:val="32"/>
        </w:rPr>
      </w:pPr>
      <w:r>
        <w:rPr>
          <w:rFonts w:hint="eastAsia" w:ascii="仿宋" w:hAnsi="仿宋" w:eastAsia="仿宋" w:cs="仿宋"/>
          <w:b/>
          <w:sz w:val="32"/>
          <w:szCs w:val="32"/>
        </w:rPr>
        <w:t>2.部门决算情况</w:t>
      </w:r>
    </w:p>
    <w:p>
      <w:pPr>
        <w:spacing w:line="600" w:lineRule="exact"/>
        <w:ind w:firstLine="640" w:firstLineChars="200"/>
        <w:jc w:val="both"/>
        <w:rPr>
          <w:rFonts w:hint="eastAsia" w:ascii="仿宋" w:hAnsi="仿宋" w:eastAsia="仿宋" w:cs="仿宋"/>
          <w:bCs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bCs/>
          <w:sz w:val="32"/>
          <w:szCs w:val="32"/>
        </w:rPr>
        <w:t>20</w:t>
      </w:r>
      <w:r>
        <w:rPr>
          <w:rFonts w:hint="eastAsia" w:ascii="仿宋" w:hAnsi="仿宋" w:eastAsia="仿宋" w:cs="仿宋"/>
          <w:bCs/>
          <w:sz w:val="32"/>
          <w:szCs w:val="32"/>
          <w:lang w:eastAsia="zh-CN"/>
        </w:rPr>
        <w:t>2</w:t>
      </w:r>
      <w:r>
        <w:rPr>
          <w:rFonts w:hint="eastAsia" w:ascii="仿宋" w:hAnsi="仿宋" w:eastAsia="仿宋" w:cs="仿宋"/>
          <w:bCs/>
          <w:sz w:val="32"/>
          <w:szCs w:val="32"/>
          <w:lang w:val="en-US" w:eastAsia="zh-CN"/>
        </w:rPr>
        <w:t>2</w:t>
      </w:r>
      <w:r>
        <w:rPr>
          <w:rFonts w:hint="eastAsia" w:ascii="仿宋" w:hAnsi="仿宋" w:eastAsia="仿宋" w:cs="仿宋"/>
          <w:bCs/>
          <w:sz w:val="32"/>
          <w:szCs w:val="32"/>
        </w:rPr>
        <w:t>年收入</w:t>
      </w:r>
      <w:bookmarkStart w:id="2" w:name="OLE_LINK1"/>
      <w:r>
        <w:rPr>
          <w:rFonts w:hint="eastAsia" w:ascii="仿宋" w:hAnsi="仿宋" w:eastAsia="仿宋" w:cs="仿宋"/>
          <w:bCs/>
          <w:sz w:val="32"/>
          <w:szCs w:val="32"/>
        </w:rPr>
        <w:t>实际</w:t>
      </w:r>
      <w:bookmarkEnd w:id="2"/>
      <w:r>
        <w:rPr>
          <w:rFonts w:hint="eastAsia" w:ascii="仿宋" w:hAnsi="仿宋" w:eastAsia="仿宋" w:cs="仿宋"/>
          <w:bCs/>
          <w:sz w:val="32"/>
          <w:szCs w:val="32"/>
        </w:rPr>
        <w:t>完成</w:t>
      </w:r>
      <w:r>
        <w:rPr>
          <w:rFonts w:hint="eastAsia" w:ascii="仿宋" w:hAnsi="仿宋" w:eastAsia="仿宋" w:cs="仿宋"/>
          <w:bCs/>
          <w:sz w:val="32"/>
          <w:szCs w:val="32"/>
          <w:lang w:val="en-US" w:eastAsia="zh-CN"/>
        </w:rPr>
        <w:t>686.58</w:t>
      </w:r>
      <w:r>
        <w:rPr>
          <w:rFonts w:hint="eastAsia" w:ascii="仿宋" w:hAnsi="仿宋" w:eastAsia="仿宋" w:cs="仿宋"/>
          <w:bCs/>
          <w:sz w:val="32"/>
          <w:szCs w:val="32"/>
        </w:rPr>
        <w:t>万元，其中：一般公共预算财政拨款收入</w:t>
      </w:r>
      <w:r>
        <w:rPr>
          <w:rFonts w:hint="eastAsia" w:ascii="仿宋" w:hAnsi="仿宋" w:eastAsia="仿宋" w:cs="仿宋"/>
          <w:bCs/>
          <w:sz w:val="32"/>
          <w:szCs w:val="32"/>
          <w:lang w:val="en-US" w:eastAsia="zh-CN"/>
        </w:rPr>
        <w:t>680.28</w:t>
      </w:r>
      <w:r>
        <w:rPr>
          <w:rFonts w:hint="eastAsia" w:ascii="仿宋" w:hAnsi="仿宋" w:eastAsia="仿宋" w:cs="仿宋"/>
          <w:bCs/>
          <w:sz w:val="32"/>
          <w:szCs w:val="32"/>
          <w:lang w:eastAsia="zh-CN"/>
        </w:rPr>
        <w:t>万元，其他收入</w:t>
      </w:r>
      <w:r>
        <w:rPr>
          <w:rFonts w:hint="eastAsia" w:ascii="仿宋" w:hAnsi="仿宋" w:eastAsia="仿宋" w:cs="仿宋"/>
          <w:bCs/>
          <w:sz w:val="32"/>
          <w:szCs w:val="32"/>
          <w:lang w:val="en-US" w:eastAsia="zh-CN"/>
        </w:rPr>
        <w:t>6.3万元，</w:t>
      </w:r>
      <w:r>
        <w:rPr>
          <w:rFonts w:hint="eastAsia" w:ascii="仿宋" w:hAnsi="仿宋" w:eastAsia="仿宋" w:cs="仿宋"/>
          <w:bCs/>
          <w:sz w:val="32"/>
          <w:szCs w:val="32"/>
          <w:lang w:eastAsia="zh-CN"/>
        </w:rPr>
        <w:t>上年度财政指标结转</w:t>
      </w:r>
      <w:r>
        <w:rPr>
          <w:rFonts w:hint="eastAsia" w:ascii="仿宋" w:hAnsi="仿宋" w:eastAsia="仿宋" w:cs="仿宋"/>
          <w:bCs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bCs/>
          <w:sz w:val="32"/>
          <w:szCs w:val="32"/>
          <w:lang w:eastAsia="zh-CN"/>
        </w:rPr>
        <w:t>万元。</w:t>
      </w:r>
    </w:p>
    <w:p>
      <w:pPr>
        <w:numPr>
          <w:ilvl w:val="0"/>
          <w:numId w:val="1"/>
        </w:numPr>
        <w:spacing w:line="600" w:lineRule="exact"/>
        <w:ind w:firstLine="640" w:firstLineChars="200"/>
        <w:jc w:val="both"/>
        <w:rPr>
          <w:rFonts w:hint="eastAsia" w:ascii="仿宋" w:hAnsi="仿宋" w:eastAsia="仿宋" w:cs="仿宋"/>
          <w:b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sz w:val="32"/>
          <w:szCs w:val="32"/>
          <w:lang w:val="en-US" w:eastAsia="zh-CN"/>
        </w:rPr>
        <w:t>部门预算执行情况</w:t>
      </w:r>
    </w:p>
    <w:p>
      <w:pPr>
        <w:spacing w:line="600" w:lineRule="exact"/>
        <w:ind w:firstLine="640" w:firstLineChars="200"/>
        <w:jc w:val="both"/>
        <w:rPr>
          <w:lang w:val="en-US" w:eastAsia="zh-CN"/>
        </w:rPr>
      </w:pPr>
      <w:r>
        <w:rPr>
          <w:rFonts w:hint="eastAsia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Cs/>
          <w:sz w:val="32"/>
          <w:szCs w:val="32"/>
        </w:rPr>
        <w:t>本年度基本支出</w:t>
      </w:r>
      <w:r>
        <w:rPr>
          <w:rFonts w:hint="eastAsia" w:ascii="仿宋" w:hAnsi="仿宋" w:eastAsia="仿宋" w:cs="仿宋"/>
          <w:bCs/>
          <w:sz w:val="32"/>
          <w:szCs w:val="32"/>
          <w:lang w:val="en-US" w:eastAsia="zh-CN"/>
        </w:rPr>
        <w:t>686.58</w:t>
      </w:r>
      <w:r>
        <w:rPr>
          <w:rFonts w:hint="eastAsia" w:ascii="仿宋" w:hAnsi="仿宋" w:eastAsia="仿宋" w:cs="仿宋"/>
          <w:bCs/>
          <w:sz w:val="32"/>
          <w:szCs w:val="32"/>
        </w:rPr>
        <w:t>万元，其中人员</w:t>
      </w:r>
      <w:r>
        <w:rPr>
          <w:rFonts w:hint="eastAsia" w:ascii="仿宋" w:hAnsi="仿宋" w:eastAsia="仿宋" w:cs="仿宋"/>
          <w:color w:val="000000"/>
          <w:sz w:val="32"/>
          <w:szCs w:val="32"/>
          <w:lang w:val="zh-TW" w:eastAsia="zh-CN" w:bidi="zh-TW"/>
        </w:rPr>
        <w:t>经费</w:t>
      </w:r>
      <w:r>
        <w:rPr>
          <w:rFonts w:hint="eastAsia" w:ascii="仿宋" w:hAnsi="仿宋" w:eastAsia="仿宋" w:cs="仿宋"/>
          <w:bCs/>
          <w:sz w:val="32"/>
          <w:szCs w:val="32"/>
          <w:lang w:val="en-US" w:eastAsia="zh-CN"/>
        </w:rPr>
        <w:t>111.28</w:t>
      </w:r>
      <w:r>
        <w:rPr>
          <w:rFonts w:hint="eastAsia" w:ascii="仿宋" w:hAnsi="仿宋" w:eastAsia="仿宋" w:cs="仿宋"/>
          <w:bCs/>
          <w:sz w:val="32"/>
          <w:szCs w:val="32"/>
        </w:rPr>
        <w:t>万元，日常公用经费</w:t>
      </w:r>
      <w:r>
        <w:rPr>
          <w:rFonts w:hint="eastAsia" w:ascii="仿宋" w:hAnsi="仿宋" w:eastAsia="仿宋" w:cs="仿宋"/>
          <w:bCs/>
          <w:sz w:val="32"/>
          <w:szCs w:val="32"/>
          <w:lang w:val="en-US" w:eastAsia="zh-CN"/>
        </w:rPr>
        <w:t>575.3</w:t>
      </w:r>
      <w:r>
        <w:rPr>
          <w:rFonts w:hint="eastAsia" w:ascii="仿宋" w:hAnsi="仿宋" w:eastAsia="仿宋" w:cs="仿宋"/>
          <w:bCs/>
          <w:sz w:val="32"/>
          <w:szCs w:val="32"/>
        </w:rPr>
        <w:t>万元。</w:t>
      </w:r>
      <w:r>
        <w:rPr>
          <w:rFonts w:hint="eastAsia" w:ascii="仿宋" w:hAnsi="仿宋" w:eastAsia="仿宋" w:cs="仿宋"/>
          <w:bCs/>
          <w:sz w:val="32"/>
          <w:szCs w:val="32"/>
          <w:lang w:eastAsia="zh-CN"/>
        </w:rPr>
        <w:t>具体情况为：</w:t>
      </w:r>
      <w:r>
        <w:rPr>
          <w:rFonts w:hint="eastAsia" w:ascii="仿宋" w:hAnsi="仿宋" w:eastAsia="仿宋" w:cs="仿宋"/>
          <w:bCs/>
          <w:sz w:val="32"/>
          <w:szCs w:val="32"/>
        </w:rPr>
        <w:t>20</w:t>
      </w:r>
      <w:r>
        <w:rPr>
          <w:rFonts w:hint="eastAsia" w:ascii="仿宋" w:hAnsi="仿宋" w:eastAsia="仿宋" w:cs="仿宋"/>
          <w:bCs/>
          <w:sz w:val="32"/>
          <w:szCs w:val="32"/>
          <w:lang w:eastAsia="zh-CN"/>
        </w:rPr>
        <w:t>2</w:t>
      </w:r>
      <w:r>
        <w:rPr>
          <w:rFonts w:hint="eastAsia" w:ascii="仿宋" w:hAnsi="仿宋" w:eastAsia="仿宋" w:cs="仿宋"/>
          <w:bCs/>
          <w:sz w:val="32"/>
          <w:szCs w:val="32"/>
          <w:lang w:val="en-US" w:eastAsia="zh-CN"/>
        </w:rPr>
        <w:t>2</w:t>
      </w:r>
      <w:r>
        <w:rPr>
          <w:rFonts w:hint="eastAsia" w:ascii="仿宋" w:hAnsi="仿宋" w:eastAsia="仿宋" w:cs="仿宋"/>
          <w:bCs/>
          <w:sz w:val="32"/>
          <w:szCs w:val="32"/>
        </w:rPr>
        <w:t>年，本部门实际支出</w:t>
      </w:r>
      <w:r>
        <w:rPr>
          <w:rFonts w:hint="eastAsia" w:ascii="仿宋" w:hAnsi="仿宋" w:eastAsia="仿宋" w:cs="仿宋"/>
          <w:bCs/>
          <w:sz w:val="32"/>
          <w:szCs w:val="32"/>
          <w:lang w:val="en-US" w:eastAsia="zh-CN"/>
        </w:rPr>
        <w:t>686.58</w:t>
      </w:r>
      <w:r>
        <w:rPr>
          <w:rFonts w:hint="eastAsia" w:ascii="仿宋" w:hAnsi="仿宋" w:eastAsia="仿宋" w:cs="仿宋"/>
          <w:bCs/>
          <w:sz w:val="32"/>
          <w:szCs w:val="32"/>
        </w:rPr>
        <w:t>万元，按</w:t>
      </w:r>
      <w:r>
        <w:rPr>
          <w:rFonts w:ascii="仿宋" w:hAnsi="仿宋" w:eastAsia="仿宋" w:cs="仿宋"/>
          <w:bCs/>
          <w:sz w:val="32"/>
          <w:szCs w:val="32"/>
        </w:rPr>
        <w:t>支出</w:t>
      </w:r>
      <w:r>
        <w:rPr>
          <w:rFonts w:hint="eastAsia" w:ascii="仿宋" w:hAnsi="仿宋" w:eastAsia="仿宋" w:cs="仿宋"/>
          <w:bCs/>
          <w:sz w:val="32"/>
          <w:szCs w:val="32"/>
        </w:rPr>
        <w:t>资金</w:t>
      </w:r>
      <w:r>
        <w:rPr>
          <w:rFonts w:ascii="仿宋" w:hAnsi="仿宋" w:eastAsia="仿宋" w:cs="仿宋"/>
          <w:bCs/>
          <w:sz w:val="32"/>
          <w:szCs w:val="32"/>
        </w:rPr>
        <w:t>分类</w:t>
      </w:r>
      <w:r>
        <w:rPr>
          <w:rFonts w:hint="eastAsia" w:ascii="仿宋" w:hAnsi="仿宋" w:eastAsia="仿宋" w:cs="仿宋"/>
          <w:bCs/>
          <w:sz w:val="32"/>
          <w:szCs w:val="32"/>
        </w:rPr>
        <w:t>：基本支出</w:t>
      </w:r>
      <w:r>
        <w:rPr>
          <w:rFonts w:hint="eastAsia" w:ascii="仿宋" w:hAnsi="仿宋" w:eastAsia="仿宋" w:cs="仿宋"/>
          <w:bCs/>
          <w:sz w:val="32"/>
          <w:szCs w:val="32"/>
          <w:lang w:val="en-US" w:eastAsia="zh-CN"/>
        </w:rPr>
        <w:t>686.58</w:t>
      </w:r>
      <w:r>
        <w:rPr>
          <w:rFonts w:hint="eastAsia" w:ascii="仿宋" w:hAnsi="仿宋" w:eastAsia="仿宋" w:cs="仿宋"/>
          <w:bCs/>
          <w:sz w:val="32"/>
          <w:szCs w:val="32"/>
        </w:rPr>
        <w:t>万元</w:t>
      </w:r>
      <w:r>
        <w:rPr>
          <w:rFonts w:hint="eastAsia" w:ascii="仿宋" w:hAnsi="仿宋" w:eastAsia="仿宋" w:cs="仿宋"/>
          <w:bCs/>
          <w:sz w:val="32"/>
          <w:szCs w:val="32"/>
          <w:lang w:eastAsia="zh-CN"/>
        </w:rPr>
        <w:t>，无经营支出；</w:t>
      </w:r>
      <w:r>
        <w:rPr>
          <w:rFonts w:hint="eastAsia" w:ascii="仿宋" w:hAnsi="仿宋" w:eastAsia="仿宋" w:cs="仿宋"/>
          <w:bCs/>
          <w:sz w:val="32"/>
          <w:szCs w:val="32"/>
        </w:rPr>
        <w:t>按支出明细分类：</w:t>
      </w:r>
      <w:r>
        <w:rPr>
          <w:rFonts w:ascii="仿宋" w:hAnsi="仿宋" w:eastAsia="仿宋"/>
          <w:bCs/>
          <w:sz w:val="32"/>
          <w:szCs w:val="32"/>
        </w:rPr>
        <w:t>工资福利支出</w:t>
      </w:r>
      <w:r>
        <w:rPr>
          <w:rFonts w:hint="eastAsia" w:ascii="仿宋" w:hAnsi="仿宋" w:eastAsia="仿宋" w:cs="仿宋"/>
          <w:bCs/>
          <w:sz w:val="32"/>
          <w:szCs w:val="32"/>
          <w:lang w:val="en-US" w:eastAsia="zh-CN"/>
        </w:rPr>
        <w:t>111.28</w:t>
      </w:r>
      <w:r>
        <w:rPr>
          <w:rFonts w:ascii="仿宋" w:hAnsi="仿宋" w:eastAsia="仿宋"/>
          <w:bCs/>
          <w:sz w:val="32"/>
          <w:szCs w:val="32"/>
        </w:rPr>
        <w:t>万元，商品和服务支出</w:t>
      </w:r>
      <w:r>
        <w:rPr>
          <w:rFonts w:hint="eastAsia" w:ascii="仿宋" w:hAnsi="仿宋" w:eastAsia="仿宋" w:cs="仿宋"/>
          <w:bCs/>
          <w:sz w:val="32"/>
          <w:szCs w:val="32"/>
          <w:lang w:val="en-US" w:eastAsia="zh-CN"/>
        </w:rPr>
        <w:t>575.3</w:t>
      </w:r>
      <w:r>
        <w:rPr>
          <w:rFonts w:ascii="仿宋" w:hAnsi="仿宋" w:eastAsia="仿宋"/>
          <w:bCs/>
          <w:sz w:val="32"/>
          <w:szCs w:val="32"/>
        </w:rPr>
        <w:t>万元，对个人和家庭的补助</w:t>
      </w:r>
      <w:r>
        <w:rPr>
          <w:rFonts w:hint="eastAsia" w:ascii="仿宋" w:hAnsi="仿宋" w:eastAsia="仿宋"/>
          <w:bCs/>
          <w:sz w:val="32"/>
          <w:szCs w:val="32"/>
          <w:lang w:val="en-US" w:eastAsia="zh-CN"/>
        </w:rPr>
        <w:t>0</w:t>
      </w:r>
      <w:r>
        <w:rPr>
          <w:rFonts w:ascii="仿宋" w:hAnsi="仿宋" w:eastAsia="仿宋"/>
          <w:bCs/>
          <w:sz w:val="32"/>
          <w:szCs w:val="32"/>
        </w:rPr>
        <w:t>万元</w:t>
      </w:r>
      <w:r>
        <w:rPr>
          <w:rFonts w:hint="eastAsia" w:ascii="仿宋" w:hAnsi="仿宋" w:eastAsia="仿宋"/>
          <w:bCs/>
          <w:sz w:val="32"/>
          <w:szCs w:val="32"/>
          <w:lang w:eastAsia="zh-CN"/>
        </w:rPr>
        <w:t>。</w:t>
      </w:r>
    </w:p>
    <w:p>
      <w:pPr>
        <w:pStyle w:val="6"/>
        <w:widowControl/>
        <w:shd w:val="clear" w:color="auto" w:fill="FFFFFF"/>
        <w:spacing w:beforeAutospacing="0" w:afterAutospacing="0" w:line="600" w:lineRule="exact"/>
        <w:ind w:firstLine="640" w:firstLineChars="200"/>
        <w:jc w:val="both"/>
        <w:rPr>
          <w:rFonts w:ascii="仿宋" w:hAnsi="仿宋" w:eastAsia="仿宋" w:cs="仿宋"/>
          <w:b/>
          <w:sz w:val="32"/>
          <w:szCs w:val="32"/>
          <w:shd w:val="clear" w:color="auto" w:fill="FFFFFF"/>
        </w:rPr>
      </w:pPr>
      <w:r>
        <w:rPr>
          <w:rFonts w:hint="eastAsia" w:ascii="仿宋" w:hAnsi="仿宋" w:eastAsia="仿宋" w:cs="仿宋"/>
          <w:b/>
          <w:sz w:val="32"/>
          <w:szCs w:val="32"/>
          <w:shd w:val="clear" w:color="auto" w:fill="FFFFFF"/>
          <w:lang w:eastAsia="zh-CN"/>
        </w:rPr>
        <w:t>（三）</w:t>
      </w:r>
      <w:r>
        <w:rPr>
          <w:rFonts w:hint="eastAsia" w:ascii="仿宋" w:hAnsi="仿宋" w:eastAsia="仿宋" w:cs="仿宋"/>
          <w:b/>
          <w:sz w:val="32"/>
          <w:szCs w:val="32"/>
          <w:shd w:val="clear" w:color="auto" w:fill="FFFFFF"/>
        </w:rPr>
        <w:t>年末结转和结余情况</w:t>
      </w:r>
    </w:p>
    <w:p>
      <w:pPr>
        <w:spacing w:line="600" w:lineRule="exact"/>
        <w:ind w:firstLine="640" w:firstLineChars="200"/>
        <w:jc w:val="both"/>
        <w:rPr>
          <w:rFonts w:ascii="仿宋" w:hAnsi="仿宋" w:eastAsia="仿宋" w:cs="仿宋"/>
          <w:bCs/>
          <w:color w:val="333333"/>
          <w:sz w:val="32"/>
          <w:szCs w:val="32"/>
        </w:rPr>
      </w:pPr>
      <w:r>
        <w:rPr>
          <w:rFonts w:hint="eastAsia" w:ascii="仿宋" w:hAnsi="仿宋" w:eastAsia="仿宋" w:cs="仿宋"/>
          <w:bCs/>
          <w:sz w:val="32"/>
          <w:szCs w:val="32"/>
          <w:lang w:eastAsia="zh-CN"/>
        </w:rPr>
        <w:t>202</w:t>
      </w:r>
      <w:r>
        <w:rPr>
          <w:rFonts w:hint="eastAsia" w:ascii="仿宋" w:hAnsi="仿宋" w:eastAsia="仿宋" w:cs="仿宋"/>
          <w:bCs/>
          <w:sz w:val="32"/>
          <w:szCs w:val="32"/>
          <w:lang w:val="en-US" w:eastAsia="zh-CN"/>
        </w:rPr>
        <w:t>2</w:t>
      </w:r>
      <w:r>
        <w:rPr>
          <w:rFonts w:hint="eastAsia" w:ascii="仿宋" w:hAnsi="仿宋" w:eastAsia="仿宋" w:cs="仿宋"/>
          <w:bCs/>
          <w:sz w:val="32"/>
          <w:szCs w:val="32"/>
          <w:lang w:eastAsia="zh-CN"/>
        </w:rPr>
        <w:t>年年初结转结余</w:t>
      </w:r>
      <w:r>
        <w:rPr>
          <w:rFonts w:hint="eastAsia" w:ascii="仿宋" w:hAnsi="仿宋" w:eastAsia="仿宋" w:cs="仿宋"/>
          <w:bCs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bCs/>
          <w:sz w:val="32"/>
          <w:szCs w:val="32"/>
          <w:lang w:eastAsia="zh-CN"/>
        </w:rPr>
        <w:t>万元。</w:t>
      </w:r>
      <w:r>
        <w:rPr>
          <w:rFonts w:hint="eastAsia" w:ascii="仿宋" w:hAnsi="仿宋" w:eastAsia="仿宋" w:cs="仿宋"/>
          <w:bCs/>
          <w:sz w:val="32"/>
          <w:szCs w:val="32"/>
          <w:lang w:val="en-US" w:eastAsia="zh-CN"/>
        </w:rPr>
        <w:t>2022年</w:t>
      </w:r>
      <w:r>
        <w:rPr>
          <w:rFonts w:hint="eastAsia" w:ascii="仿宋" w:hAnsi="仿宋" w:eastAsia="仿宋" w:cs="仿宋"/>
          <w:bCs/>
          <w:sz w:val="32"/>
          <w:szCs w:val="32"/>
          <w:shd w:val="clear" w:color="auto" w:fill="FFFFFF"/>
        </w:rPr>
        <w:t>年</w:t>
      </w:r>
      <w:r>
        <w:rPr>
          <w:rFonts w:hint="eastAsia" w:ascii="仿宋" w:hAnsi="仿宋" w:eastAsia="仿宋" w:cs="仿宋"/>
          <w:bCs/>
          <w:sz w:val="32"/>
          <w:szCs w:val="32"/>
          <w:shd w:val="clear" w:color="auto" w:fill="FFFFFF"/>
          <w:lang w:eastAsia="zh-CN"/>
        </w:rPr>
        <w:t>末</w:t>
      </w:r>
      <w:r>
        <w:rPr>
          <w:rFonts w:hint="eastAsia" w:ascii="仿宋" w:hAnsi="仿宋" w:eastAsia="仿宋" w:cs="仿宋"/>
          <w:bCs/>
          <w:sz w:val="32"/>
          <w:szCs w:val="32"/>
          <w:shd w:val="clear" w:color="auto" w:fill="FFFFFF"/>
        </w:rPr>
        <w:t>结转结余</w:t>
      </w:r>
      <w:r>
        <w:rPr>
          <w:rFonts w:hint="eastAsia" w:ascii="仿宋" w:hAnsi="仿宋" w:eastAsia="仿宋" w:cs="仿宋"/>
          <w:bCs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bCs/>
          <w:sz w:val="32"/>
          <w:szCs w:val="32"/>
          <w:shd w:val="clear" w:color="auto" w:fill="FFFFFF"/>
        </w:rPr>
        <w:t>万元</w:t>
      </w:r>
      <w:r>
        <w:rPr>
          <w:rFonts w:hint="eastAsia" w:ascii="仿宋" w:hAnsi="仿宋" w:eastAsia="仿宋" w:cs="仿宋"/>
          <w:bCs/>
          <w:sz w:val="32"/>
          <w:szCs w:val="32"/>
          <w:lang w:val="en-US" w:eastAsia="zh-CN"/>
        </w:rPr>
        <w:t>。</w:t>
      </w:r>
    </w:p>
    <w:p>
      <w:pPr>
        <w:spacing w:line="600" w:lineRule="exact"/>
        <w:ind w:firstLine="640" w:firstLineChars="200"/>
        <w:jc w:val="both"/>
        <w:rPr>
          <w:rFonts w:hint="eastAsia" w:ascii="仿宋" w:hAnsi="仿宋" w:eastAsia="仿宋" w:cs="仿宋"/>
          <w:b/>
          <w:sz w:val="32"/>
          <w:szCs w:val="32"/>
        </w:rPr>
      </w:pPr>
      <w:r>
        <w:rPr>
          <w:rFonts w:hint="eastAsia" w:ascii="楷体" w:hAnsi="楷体" w:eastAsia="楷体" w:cs="楷体"/>
          <w:bCs/>
          <w:sz w:val="32"/>
          <w:szCs w:val="32"/>
          <w:shd w:val="clear" w:color="auto" w:fill="FFFFFF"/>
        </w:rPr>
        <w:t>（</w:t>
      </w:r>
      <w:r>
        <w:rPr>
          <w:rFonts w:hint="eastAsia" w:ascii="楷体" w:hAnsi="楷体" w:eastAsia="楷体" w:cs="楷体"/>
          <w:bCs/>
          <w:sz w:val="32"/>
          <w:szCs w:val="32"/>
          <w:shd w:val="clear" w:color="auto" w:fill="FFFFFF"/>
          <w:lang w:eastAsia="zh-CN"/>
        </w:rPr>
        <w:t>四</w:t>
      </w:r>
      <w:r>
        <w:rPr>
          <w:rFonts w:hint="eastAsia" w:ascii="楷体" w:hAnsi="楷体" w:eastAsia="楷体" w:cs="楷体"/>
          <w:bCs/>
          <w:sz w:val="32"/>
          <w:szCs w:val="32"/>
          <w:shd w:val="clear" w:color="auto" w:fill="FFFFFF"/>
        </w:rPr>
        <w:t>）</w:t>
      </w:r>
      <w:r>
        <w:rPr>
          <w:rFonts w:hint="eastAsia" w:ascii="楷体" w:hAnsi="楷体" w:eastAsia="楷体" w:cs="楷体"/>
          <w:bCs/>
          <w:sz w:val="32"/>
          <w:szCs w:val="32"/>
          <w:shd w:val="clear" w:color="auto" w:fill="FFFFFF"/>
          <w:lang w:eastAsia="zh-CN"/>
        </w:rPr>
        <w:t>“三公”经费使用和管理情况</w:t>
      </w:r>
    </w:p>
    <w:p>
      <w:pPr>
        <w:spacing w:line="600" w:lineRule="exact"/>
        <w:ind w:firstLine="640" w:firstLineChars="200"/>
        <w:jc w:val="both"/>
        <w:rPr>
          <w:rFonts w:hint="eastAsia" w:ascii="仿宋" w:hAnsi="仿宋" w:eastAsia="仿宋" w:cs="仿宋"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lang w:val="zh-TW" w:eastAsia="zh-CN" w:bidi="zh-TW"/>
        </w:rPr>
        <w:t>“三公”经费年初预算</w:t>
      </w:r>
      <w:bookmarkStart w:id="3" w:name="OLE_LINK2"/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 w:bidi="zh-TW"/>
        </w:rPr>
        <w:t>3.24</w:t>
      </w:r>
      <w:r>
        <w:rPr>
          <w:rFonts w:hint="eastAsia" w:ascii="仿宋" w:hAnsi="仿宋" w:eastAsia="仿宋" w:cs="仿宋"/>
          <w:color w:val="000000"/>
          <w:sz w:val="32"/>
          <w:szCs w:val="32"/>
          <w:lang w:val="zh-TW" w:eastAsia="zh-CN" w:bidi="zh-TW"/>
        </w:rPr>
        <w:t>万元</w:t>
      </w:r>
      <w:bookmarkEnd w:id="3"/>
      <w:r>
        <w:rPr>
          <w:rFonts w:hint="eastAsia" w:ascii="仿宋" w:hAnsi="仿宋" w:eastAsia="仿宋" w:cs="仿宋"/>
          <w:color w:val="000000"/>
          <w:sz w:val="32"/>
          <w:szCs w:val="32"/>
          <w:lang w:val="zh-TW" w:eastAsia="zh-CN" w:bidi="zh-TW"/>
        </w:rPr>
        <w:t>，实际支出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 w:bidi="zh-TW"/>
          <w14:textFill>
            <w14:solidFill>
              <w14:schemeClr w14:val="tx1"/>
            </w14:solidFill>
          </w14:textFill>
        </w:rPr>
        <w:t>2.49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val="zh-TW" w:eastAsia="zh-CN" w:bidi="zh-TW"/>
          <w14:textFill>
            <w14:solidFill>
              <w14:schemeClr w14:val="tx1"/>
            </w14:solidFill>
          </w14:textFill>
        </w:rPr>
        <w:t>万元（其中：公务接待费支出</w:t>
      </w:r>
      <w:r>
        <w:rPr>
          <w:rFonts w:hint="eastAsia" w:ascii="仿宋" w:hAnsi="仿宋" w:eastAsia="仿宋" w:cs="仿宋"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2.49</w:t>
      </w:r>
      <w:r>
        <w:rPr>
          <w:rFonts w:hint="eastAsia" w:ascii="仿宋" w:hAnsi="仿宋" w:eastAsia="仿宋" w:cs="仿宋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万元</w:t>
      </w:r>
      <w:r>
        <w:rPr>
          <w:rFonts w:hint="eastAsia" w:ascii="仿宋" w:hAnsi="仿宋" w:eastAsia="仿宋" w:cs="仿宋"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，本单位无公车，无因公出国费用</w:t>
      </w:r>
      <w:r>
        <w:rPr>
          <w:rFonts w:hint="eastAsia" w:ascii="仿宋" w:hAnsi="仿宋" w:eastAsia="仿宋" w:cs="仿宋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）</w:t>
      </w:r>
      <w:r>
        <w:rPr>
          <w:rFonts w:hint="eastAsia" w:ascii="仿宋" w:hAnsi="仿宋" w:eastAsia="仿宋" w:cs="仿宋"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。</w:t>
      </w:r>
      <w:r>
        <w:rPr>
          <w:rFonts w:hint="eastAsia" w:ascii="仿宋" w:hAnsi="仿宋" w:eastAsia="仿宋" w:cs="仿宋"/>
          <w:bCs/>
          <w:sz w:val="32"/>
          <w:szCs w:val="32"/>
          <w:lang w:val="en-US" w:eastAsia="zh-CN"/>
        </w:rPr>
        <w:t>2021年</w:t>
      </w:r>
      <w:r>
        <w:rPr>
          <w:rFonts w:hint="eastAsia" w:ascii="仿宋" w:hAnsi="仿宋" w:eastAsia="仿宋" w:cs="仿宋"/>
          <w:color w:val="000000"/>
          <w:sz w:val="32"/>
          <w:szCs w:val="32"/>
          <w:lang w:val="zh-TW" w:eastAsia="zh-CN" w:bidi="zh-TW"/>
        </w:rPr>
        <w:t>“三公”经费</w:t>
      </w:r>
      <w:r>
        <w:rPr>
          <w:rFonts w:hint="eastAsia" w:ascii="仿宋" w:hAnsi="仿宋" w:eastAsia="仿宋" w:cs="仿宋"/>
          <w:bCs/>
          <w:sz w:val="32"/>
          <w:szCs w:val="32"/>
          <w:lang w:val="en-US" w:eastAsia="zh-CN"/>
        </w:rPr>
        <w:t>预算3.6万元，“三公”经费实际支出2.8万元</w:t>
      </w:r>
      <w:r>
        <w:rPr>
          <w:rFonts w:hint="eastAsia" w:ascii="仿宋" w:hAnsi="仿宋" w:eastAsia="仿宋" w:cs="仿宋"/>
          <w:bCs/>
          <w:sz w:val="32"/>
          <w:szCs w:val="32"/>
          <w:lang w:eastAsia="zh-CN"/>
        </w:rPr>
        <w:t>。年初预算本年数与上年数比降低</w:t>
      </w:r>
      <w:r>
        <w:rPr>
          <w:rFonts w:hint="eastAsia" w:ascii="仿宋" w:hAnsi="仿宋" w:eastAsia="仿宋" w:cs="仿宋"/>
          <w:bCs/>
          <w:sz w:val="32"/>
          <w:szCs w:val="32"/>
          <w:lang w:val="en-US" w:eastAsia="zh-CN"/>
        </w:rPr>
        <w:t>10%，实际支出本年数与上年数比减少11.29%，严格执行中央八项规定，严控“三公经费”支出。</w:t>
      </w:r>
    </w:p>
    <w:p>
      <w:pPr>
        <w:spacing w:line="600" w:lineRule="exact"/>
        <w:ind w:firstLine="640" w:firstLineChars="200"/>
        <w:jc w:val="both"/>
        <w:rPr>
          <w:rFonts w:ascii="仿宋" w:hAnsi="仿宋" w:eastAsia="仿宋" w:cs="仿宋"/>
          <w:bCs/>
          <w:sz w:val="32"/>
          <w:szCs w:val="32"/>
        </w:rPr>
      </w:pPr>
      <w:r>
        <w:rPr>
          <w:rFonts w:hint="eastAsia" w:ascii="仿宋" w:hAnsi="仿宋" w:eastAsia="仿宋" w:cs="仿宋"/>
          <w:b w:val="0"/>
          <w:bCs/>
          <w:sz w:val="32"/>
          <w:szCs w:val="32"/>
        </w:rPr>
        <w:t>2.项</w:t>
      </w:r>
      <w:r>
        <w:rPr>
          <w:rFonts w:hint="eastAsia" w:ascii="仿宋" w:hAnsi="仿宋" w:eastAsia="仿宋" w:cs="仿宋"/>
          <w:b w:val="0"/>
          <w:bCs/>
          <w:sz w:val="32"/>
          <w:szCs w:val="32"/>
          <w:lang w:eastAsia="zh-CN"/>
        </w:rPr>
        <w:t>目</w:t>
      </w:r>
      <w:r>
        <w:rPr>
          <w:rFonts w:hint="eastAsia" w:ascii="仿宋" w:hAnsi="仿宋" w:eastAsia="仿宋" w:cs="仿宋"/>
          <w:b w:val="0"/>
          <w:bCs/>
          <w:sz w:val="32"/>
          <w:szCs w:val="32"/>
        </w:rPr>
        <w:t>支出：</w:t>
      </w:r>
      <w:r>
        <w:rPr>
          <w:rFonts w:hint="eastAsia" w:ascii="仿宋" w:hAnsi="仿宋" w:eastAsia="仿宋" w:cs="仿宋"/>
          <w:bCs/>
          <w:sz w:val="32"/>
          <w:szCs w:val="32"/>
        </w:rPr>
        <w:t>本单位无项</w:t>
      </w:r>
      <w:r>
        <w:rPr>
          <w:rFonts w:hint="eastAsia" w:ascii="仿宋" w:hAnsi="仿宋" w:eastAsia="仿宋" w:cs="仿宋"/>
          <w:bCs/>
          <w:sz w:val="32"/>
          <w:szCs w:val="32"/>
          <w:lang w:eastAsia="zh-CN"/>
        </w:rPr>
        <w:t>目</w:t>
      </w:r>
      <w:r>
        <w:rPr>
          <w:rFonts w:hint="eastAsia" w:ascii="仿宋" w:hAnsi="仿宋" w:eastAsia="仿宋" w:cs="仿宋"/>
          <w:bCs/>
          <w:sz w:val="32"/>
          <w:szCs w:val="32"/>
        </w:rPr>
        <w:t>资金。</w:t>
      </w:r>
    </w:p>
    <w:p>
      <w:pPr>
        <w:spacing w:line="600" w:lineRule="exact"/>
        <w:ind w:firstLine="640" w:firstLineChars="200"/>
        <w:jc w:val="both"/>
        <w:rPr>
          <w:rFonts w:ascii="仿宋" w:hAnsi="仿宋" w:eastAsia="仿宋" w:cs="仿宋"/>
          <w:bCs/>
          <w:sz w:val="32"/>
          <w:szCs w:val="32"/>
        </w:rPr>
      </w:pPr>
      <w:r>
        <w:rPr>
          <w:rFonts w:hint="eastAsia" w:ascii="仿宋" w:hAnsi="仿宋" w:eastAsia="仿宋" w:cs="仿宋"/>
          <w:bCs/>
          <w:sz w:val="32"/>
          <w:szCs w:val="32"/>
        </w:rPr>
        <w:t>3.部门（单位）专项组织实施情况。本单位无专项资金。</w:t>
      </w:r>
    </w:p>
    <w:p>
      <w:pPr>
        <w:spacing w:line="600" w:lineRule="exact"/>
        <w:ind w:firstLine="640" w:firstLineChars="200"/>
        <w:jc w:val="both"/>
        <w:rPr>
          <w:rFonts w:ascii="仿宋" w:hAnsi="仿宋" w:eastAsia="仿宋" w:cs="仿宋"/>
          <w:bCs/>
          <w:sz w:val="32"/>
          <w:szCs w:val="32"/>
        </w:rPr>
      </w:pPr>
      <w:r>
        <w:rPr>
          <w:rFonts w:hint="eastAsia" w:ascii="仿宋" w:hAnsi="仿宋" w:eastAsia="仿宋" w:cs="仿宋"/>
          <w:bCs/>
          <w:sz w:val="32"/>
          <w:szCs w:val="32"/>
        </w:rPr>
        <w:t>4.经营支出</w:t>
      </w:r>
      <w:r>
        <w:rPr>
          <w:rFonts w:ascii="仿宋" w:hAnsi="仿宋" w:eastAsia="仿宋" w:cs="仿宋"/>
          <w:bCs/>
          <w:sz w:val="32"/>
          <w:szCs w:val="32"/>
        </w:rPr>
        <w:t>：</w:t>
      </w:r>
      <w:r>
        <w:rPr>
          <w:rFonts w:hint="eastAsia" w:ascii="仿宋" w:hAnsi="仿宋" w:eastAsia="仿宋" w:cs="仿宋"/>
          <w:bCs/>
          <w:sz w:val="32"/>
          <w:szCs w:val="32"/>
          <w:lang w:eastAsia="zh-CN"/>
        </w:rPr>
        <w:t>本单位无经营支出</w:t>
      </w:r>
      <w:r>
        <w:rPr>
          <w:rFonts w:ascii="仿宋" w:hAnsi="仿宋" w:eastAsia="仿宋" w:cs="仿宋"/>
          <w:bCs/>
          <w:sz w:val="32"/>
          <w:szCs w:val="32"/>
        </w:rPr>
        <w:t>。</w:t>
      </w:r>
    </w:p>
    <w:p>
      <w:pPr>
        <w:spacing w:line="600" w:lineRule="exact"/>
        <w:ind w:firstLine="640" w:firstLineChars="200"/>
        <w:jc w:val="both"/>
        <w:rPr>
          <w:rFonts w:ascii="仿宋" w:hAnsi="仿宋" w:eastAsia="仿宋" w:cs="仿宋"/>
          <w:bCs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bCs/>
          <w:sz w:val="32"/>
          <w:szCs w:val="32"/>
          <w:lang w:eastAsia="zh-CN"/>
        </w:rPr>
        <w:t>5、其他收入支出：本年度其他收入</w:t>
      </w:r>
      <w:r>
        <w:rPr>
          <w:rFonts w:hint="eastAsia" w:ascii="仿宋" w:hAnsi="仿宋" w:eastAsia="仿宋" w:cs="仿宋"/>
          <w:bCs/>
          <w:sz w:val="32"/>
          <w:szCs w:val="32"/>
          <w:lang w:val="en-US" w:eastAsia="zh-CN"/>
        </w:rPr>
        <w:t>6.3万元；无其他</w:t>
      </w:r>
      <w:r>
        <w:rPr>
          <w:rFonts w:hint="eastAsia" w:ascii="仿宋" w:hAnsi="仿宋" w:eastAsia="仿宋" w:cs="仿宋"/>
          <w:bCs/>
          <w:sz w:val="32"/>
          <w:szCs w:val="32"/>
          <w:lang w:eastAsia="zh-CN"/>
        </w:rPr>
        <w:t>支出</w:t>
      </w:r>
      <w:r>
        <w:rPr>
          <w:rFonts w:ascii="仿宋" w:hAnsi="仿宋" w:eastAsia="仿宋" w:cs="仿宋"/>
          <w:bCs/>
          <w:sz w:val="32"/>
          <w:szCs w:val="32"/>
        </w:rPr>
        <w:t>。</w:t>
      </w:r>
    </w:p>
    <w:p>
      <w:pPr>
        <w:pStyle w:val="9"/>
        <w:spacing w:line="608" w:lineRule="exact"/>
        <w:ind w:firstLine="0"/>
        <w:jc w:val="both"/>
        <w:rPr>
          <w:rFonts w:ascii="黑体" w:hAnsi="黑体" w:eastAsia="黑体" w:cs="黑体"/>
          <w:sz w:val="32"/>
          <w:szCs w:val="32"/>
        </w:rPr>
      </w:pPr>
      <w:bookmarkStart w:id="4" w:name="bookmark4"/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 xml:space="preserve">  </w:t>
      </w:r>
      <w:r>
        <w:rPr>
          <w:rFonts w:hint="eastAsia" w:ascii="楷体" w:hAnsi="楷体" w:eastAsia="楷体" w:cs="楷体"/>
          <w:bCs/>
          <w:color w:val="000000"/>
          <w:sz w:val="32"/>
          <w:szCs w:val="32"/>
          <w:shd w:val="clear" w:color="auto" w:fill="FFFFFF"/>
          <w:lang w:val="en-US" w:eastAsia="zh-CN" w:bidi="en-US"/>
        </w:rPr>
        <w:t xml:space="preserve">  </w:t>
      </w:r>
      <w:bookmarkEnd w:id="4"/>
      <w:r>
        <w:rPr>
          <w:rFonts w:hint="eastAsia" w:ascii="楷体" w:hAnsi="楷体" w:eastAsia="楷体" w:cs="楷体"/>
          <w:bCs/>
          <w:color w:val="000000"/>
          <w:sz w:val="32"/>
          <w:szCs w:val="32"/>
          <w:shd w:val="clear" w:color="auto" w:fill="FFFFFF"/>
          <w:lang w:val="en-US" w:eastAsia="zh-CN" w:bidi="en-US"/>
        </w:rPr>
        <w:t>（五）</w:t>
      </w:r>
      <w:r>
        <w:rPr>
          <w:rFonts w:hint="eastAsia" w:ascii="楷体" w:hAnsi="楷体" w:eastAsia="楷体" w:cs="楷体"/>
          <w:bCs/>
          <w:color w:val="000000"/>
          <w:sz w:val="32"/>
          <w:szCs w:val="32"/>
          <w:shd w:val="clear" w:color="auto" w:fill="FFFFFF"/>
          <w:lang w:val="en-US" w:eastAsia="en-US" w:bidi="en-US"/>
        </w:rPr>
        <w:t>部门整体支出</w:t>
      </w:r>
      <w:r>
        <w:rPr>
          <w:rFonts w:hint="eastAsia" w:ascii="楷体" w:hAnsi="楷体" w:eastAsia="楷体" w:cs="楷体"/>
          <w:bCs/>
          <w:color w:val="000000"/>
          <w:sz w:val="32"/>
          <w:szCs w:val="32"/>
          <w:shd w:val="clear" w:color="auto" w:fill="FFFFFF"/>
          <w:lang w:val="en-US" w:eastAsia="zh-CN" w:bidi="en-US"/>
        </w:rPr>
        <w:t>管理与制度建设情况</w:t>
      </w:r>
    </w:p>
    <w:p>
      <w:pPr>
        <w:spacing w:line="600" w:lineRule="exact"/>
        <w:ind w:firstLine="640" w:firstLineChars="200"/>
        <w:jc w:val="both"/>
        <w:rPr>
          <w:rFonts w:hint="eastAsia" w:ascii="仿宋" w:hAnsi="仿宋" w:eastAsia="仿宋" w:cs="仿宋"/>
          <w:bCs/>
          <w:sz w:val="32"/>
          <w:szCs w:val="32"/>
          <w:shd w:val="clear" w:color="auto" w:fill="FFFFFF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我局</w:t>
      </w:r>
      <w:r>
        <w:rPr>
          <w:rFonts w:hint="eastAsia" w:ascii="仿宋" w:hAnsi="仿宋" w:eastAsia="仿宋" w:cs="仿宋"/>
          <w:bCs/>
          <w:sz w:val="32"/>
          <w:szCs w:val="32"/>
          <w:shd w:val="clear" w:color="auto" w:fill="FFFFFF"/>
        </w:rPr>
        <w:t>制定</w:t>
      </w:r>
      <w:r>
        <w:rPr>
          <w:rFonts w:hint="eastAsia" w:ascii="仿宋" w:hAnsi="仿宋" w:eastAsia="仿宋" w:cs="仿宋"/>
          <w:bCs/>
          <w:sz w:val="32"/>
          <w:szCs w:val="32"/>
          <w:shd w:val="clear" w:color="auto" w:fill="FFFFFF"/>
          <w:lang w:eastAsia="zh-CN"/>
        </w:rPr>
        <w:t>了</w:t>
      </w:r>
      <w:r>
        <w:rPr>
          <w:rFonts w:hint="eastAsia" w:ascii="仿宋" w:hAnsi="仿宋" w:eastAsia="仿宋" w:cs="仿宋"/>
          <w:bCs/>
          <w:sz w:val="32"/>
          <w:szCs w:val="32"/>
          <w:shd w:val="clear" w:color="auto" w:fill="FFFFFF"/>
          <w:lang w:val="en-US" w:eastAsia="zh-CN"/>
        </w:rPr>
        <w:t>2022年</w:t>
      </w:r>
      <w:r>
        <w:rPr>
          <w:rFonts w:hint="eastAsia" w:ascii="仿宋" w:hAnsi="仿宋" w:eastAsia="仿宋" w:cs="仿宋"/>
          <w:bCs/>
          <w:sz w:val="32"/>
          <w:szCs w:val="32"/>
          <w:shd w:val="clear" w:color="auto" w:fill="FFFFFF"/>
        </w:rPr>
        <w:t>预算绩效管理的相关制度和办法，成立了绩效管理工作领导小组，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由</w:t>
      </w:r>
      <w:r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  <w:t>党组书记唐春晖总揽，王保国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任组长，</w:t>
      </w:r>
      <w:r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  <w:t>麻晓林、邓华龙、邹运庚任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副组长</w:t>
      </w:r>
      <w:r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  <w:t>，王娟、谢显银、邹才兵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等人为成员，负责制定预算绩效管理办法，管理事业经费、行政经费、编制预算、决算，对执行和绩效情况实行监督管理；协调有关部门对</w:t>
      </w:r>
      <w:r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  <w:t>医保工作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经费使用实行监管并组织资金绩效评估</w:t>
      </w:r>
      <w:r>
        <w:rPr>
          <w:rFonts w:hint="eastAsia" w:ascii="仿宋" w:hAnsi="仿宋" w:eastAsia="仿宋" w:cs="仿宋"/>
          <w:bCs/>
          <w:sz w:val="32"/>
          <w:szCs w:val="32"/>
          <w:shd w:val="clear" w:color="auto" w:fill="FFFFFF"/>
        </w:rPr>
        <w:t>。各</w:t>
      </w:r>
      <w:r>
        <w:rPr>
          <w:rFonts w:hint="eastAsia" w:ascii="仿宋" w:hAnsi="仿宋" w:eastAsia="仿宋" w:cs="仿宋"/>
          <w:bCs/>
          <w:sz w:val="32"/>
          <w:szCs w:val="32"/>
          <w:shd w:val="clear" w:color="auto" w:fill="FFFFFF"/>
          <w:lang w:eastAsia="zh-CN"/>
        </w:rPr>
        <w:t>股</w:t>
      </w:r>
      <w:r>
        <w:rPr>
          <w:rFonts w:hint="eastAsia" w:ascii="仿宋" w:hAnsi="仿宋" w:eastAsia="仿宋" w:cs="仿宋"/>
          <w:bCs/>
          <w:sz w:val="32"/>
          <w:szCs w:val="32"/>
          <w:shd w:val="clear" w:color="auto" w:fill="FFFFFF"/>
        </w:rPr>
        <w:t>室全程参与、协调预算绩效管理工作，同时提供开展预算绩效管理所需的相关执行数据和情况。配合牵头部门做好单位的绩效目标、绩效跟踪、绩效评价和结果运用等管理工作。</w:t>
      </w:r>
      <w:r>
        <w:rPr>
          <w:rFonts w:hint="eastAsia" w:ascii="仿宋" w:hAnsi="仿宋" w:eastAsia="仿宋" w:cs="仿宋"/>
          <w:bCs/>
          <w:sz w:val="32"/>
          <w:szCs w:val="32"/>
          <w:shd w:val="clear" w:color="auto" w:fill="FFFFFF"/>
          <w:lang w:eastAsia="zh-CN"/>
        </w:rPr>
        <w:t>做到了管理制度健全、资金使用合规，并且预决算和基础信息在衡阳县党政门户网上公开。</w:t>
      </w:r>
    </w:p>
    <w:p>
      <w:pPr>
        <w:numPr>
          <w:ilvl w:val="0"/>
          <w:numId w:val="0"/>
        </w:numPr>
        <w:snapToGrid w:val="0"/>
        <w:spacing w:line="520" w:lineRule="exact"/>
        <w:ind w:left="640" w:leftChars="0"/>
        <w:rPr>
          <w:rFonts w:hint="eastAsia" w:eastAsia="黑体"/>
          <w:sz w:val="32"/>
          <w:szCs w:val="32"/>
        </w:rPr>
      </w:pPr>
      <w:r>
        <w:rPr>
          <w:rFonts w:hint="eastAsia" w:eastAsia="黑体"/>
          <w:sz w:val="32"/>
          <w:szCs w:val="32"/>
          <w:lang w:val="en-US" w:eastAsia="zh-CN"/>
        </w:rPr>
        <w:t>三、</w:t>
      </w:r>
      <w:r>
        <w:rPr>
          <w:rFonts w:hint="eastAsia" w:eastAsia="黑体"/>
          <w:sz w:val="32"/>
          <w:szCs w:val="32"/>
        </w:rPr>
        <w:t>政府性基金预算支出情况</w:t>
      </w:r>
    </w:p>
    <w:p>
      <w:pPr>
        <w:numPr>
          <w:ilvl w:val="0"/>
          <w:numId w:val="0"/>
        </w:numPr>
        <w:snapToGrid w:val="0"/>
        <w:spacing w:line="520" w:lineRule="exact"/>
        <w:ind w:left="640" w:leftChars="0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无</w:t>
      </w:r>
    </w:p>
    <w:p>
      <w:pPr>
        <w:numPr>
          <w:ilvl w:val="0"/>
          <w:numId w:val="0"/>
        </w:numPr>
        <w:snapToGrid w:val="0"/>
        <w:spacing w:line="520" w:lineRule="exact"/>
        <w:ind w:left="640" w:leftChars="0"/>
        <w:rPr>
          <w:rFonts w:hint="eastAsia" w:eastAsia="黑体" w:cs="Times New Roman"/>
          <w:sz w:val="32"/>
          <w:szCs w:val="32"/>
          <w:lang w:val="en-US" w:eastAsia="zh-CN"/>
        </w:rPr>
      </w:pPr>
      <w:r>
        <w:rPr>
          <w:rFonts w:hint="eastAsia" w:eastAsia="黑体" w:cs="Times New Roman"/>
          <w:sz w:val="32"/>
          <w:szCs w:val="32"/>
          <w:lang w:val="en-US" w:eastAsia="zh-CN"/>
        </w:rPr>
        <w:t>四、国有资本经营预算支出情况</w:t>
      </w:r>
    </w:p>
    <w:p>
      <w:pPr>
        <w:snapToGrid w:val="0"/>
        <w:spacing w:line="520" w:lineRule="exact"/>
        <w:ind w:firstLine="640" w:firstLineChars="200"/>
        <w:rPr>
          <w:rFonts w:hint="default" w:ascii="仿宋_GB2312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仿宋_GB2312" w:hAnsi="Times New Roman" w:eastAsia="仿宋_GB2312" w:cs="Times New Roman"/>
          <w:sz w:val="32"/>
          <w:szCs w:val="32"/>
          <w:lang w:val="en-US" w:eastAsia="zh-CN"/>
        </w:rPr>
        <w:t>无</w:t>
      </w:r>
    </w:p>
    <w:p>
      <w:pPr>
        <w:numPr>
          <w:ilvl w:val="0"/>
          <w:numId w:val="2"/>
        </w:numPr>
        <w:snapToGrid w:val="0"/>
        <w:spacing w:line="520" w:lineRule="exact"/>
        <w:ind w:left="640" w:leftChars="0"/>
        <w:rPr>
          <w:rFonts w:hint="eastAsia" w:eastAsia="黑体"/>
          <w:sz w:val="32"/>
          <w:szCs w:val="32"/>
          <w:lang w:val="en-US" w:eastAsia="zh-CN"/>
        </w:rPr>
      </w:pPr>
      <w:r>
        <w:rPr>
          <w:rFonts w:hint="eastAsia" w:eastAsia="黑体"/>
          <w:sz w:val="32"/>
          <w:szCs w:val="32"/>
          <w:lang w:val="en-US" w:eastAsia="zh-CN"/>
        </w:rPr>
        <w:t>社会保险基金预算支出情况</w:t>
      </w:r>
    </w:p>
    <w:p>
      <w:pPr>
        <w:snapToGrid w:val="0"/>
        <w:spacing w:line="520" w:lineRule="exact"/>
        <w:ind w:firstLine="640" w:firstLineChars="200"/>
        <w:rPr>
          <w:rFonts w:hint="eastAsia"/>
          <w:lang w:eastAsia="zh-CN"/>
        </w:rPr>
      </w:pPr>
      <w:r>
        <w:rPr>
          <w:rFonts w:hint="eastAsia" w:ascii="仿宋_GB2312" w:hAnsi="Times New Roman" w:eastAsia="仿宋_GB2312" w:cs="Times New Roman"/>
          <w:sz w:val="32"/>
          <w:szCs w:val="32"/>
          <w:lang w:val="en-US" w:eastAsia="zh-CN"/>
        </w:rPr>
        <w:t>无</w:t>
      </w:r>
    </w:p>
    <w:p>
      <w:pPr>
        <w:numPr>
          <w:ilvl w:val="0"/>
          <w:numId w:val="2"/>
        </w:numPr>
        <w:snapToGrid w:val="0"/>
        <w:spacing w:line="520" w:lineRule="exact"/>
        <w:ind w:left="640" w:leftChars="0" w:firstLine="0" w:firstLineChars="0"/>
        <w:rPr>
          <w:rFonts w:hint="eastAsia" w:eastAsia="黑体"/>
          <w:sz w:val="32"/>
          <w:szCs w:val="32"/>
          <w:lang w:val="en-US" w:eastAsia="zh-CN"/>
        </w:rPr>
      </w:pPr>
      <w:r>
        <w:rPr>
          <w:rFonts w:hint="eastAsia" w:eastAsia="黑体"/>
          <w:sz w:val="32"/>
          <w:szCs w:val="32"/>
          <w:lang w:val="en-US" w:eastAsia="zh-CN"/>
        </w:rPr>
        <w:t>部门整体支出绩效情况</w:t>
      </w:r>
    </w:p>
    <w:p>
      <w:pPr>
        <w:snapToGrid w:val="0"/>
        <w:spacing w:line="520" w:lineRule="exact"/>
        <w:rPr>
          <w:rFonts w:hint="eastAsia" w:ascii="仿宋_GB2312" w:hAnsi="Times New Roman" w:eastAsia="仿宋_GB2312" w:cs="Times New Roman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Times New Roman" w:eastAsia="仿宋_GB2312" w:cs="Times New Roman"/>
          <w:b/>
          <w:bCs/>
          <w:sz w:val="32"/>
          <w:szCs w:val="32"/>
          <w:lang w:val="en-US" w:eastAsia="zh-CN"/>
        </w:rPr>
        <w:t xml:space="preserve">   （一）综合评价结论</w:t>
      </w:r>
    </w:p>
    <w:p>
      <w:pPr>
        <w:widowControl/>
        <w:spacing w:line="600" w:lineRule="exact"/>
        <w:ind w:firstLine="645"/>
        <w:jc w:val="left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202</w:t>
      </w:r>
      <w:r>
        <w:rPr>
          <w:rFonts w:hint="eastAsia" w:eastAsia="仿宋_GB2312" w:cs="Times New Roman"/>
          <w:sz w:val="32"/>
          <w:szCs w:val="32"/>
          <w:lang w:val="en-US" w:eastAsia="zh-CN"/>
        </w:rPr>
        <w:t>2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年，县医疗保障局能按照国家、省、市的相关政策和规章制度实施医疗保障政策，</w:t>
      </w:r>
      <w:r>
        <w:rPr>
          <w:rFonts w:hint="eastAsia" w:ascii="仿宋" w:hAnsi="仿宋" w:eastAsia="仿宋" w:cs="仿宋"/>
          <w:bCs/>
          <w:sz w:val="32"/>
          <w:szCs w:val="32"/>
          <w:shd w:val="clear" w:color="auto" w:fill="FFFFFF"/>
          <w:lang w:eastAsia="zh-CN"/>
        </w:rPr>
        <w:t>我局工作成果突出，干部职工素质和党性修养得到提高，业务和工作能力不断提高；我局</w:t>
      </w:r>
      <w:r>
        <w:rPr>
          <w:rFonts w:hint="eastAsia" w:ascii="仿宋_GB2312" w:eastAsia="仿宋_GB2312"/>
          <w:sz w:val="32"/>
          <w:szCs w:val="32"/>
        </w:rPr>
        <w:t>主动作为，深化医疗保障制度改革，坚定履行医保部门的职责使命，实现了民生实事见实效，不断提升</w:t>
      </w:r>
      <w:r>
        <w:rPr>
          <w:rFonts w:hint="eastAsia" w:ascii="仿宋_GB2312" w:eastAsia="仿宋_GB2312"/>
          <w:sz w:val="32"/>
          <w:szCs w:val="32"/>
          <w:lang w:eastAsia="zh-CN"/>
        </w:rPr>
        <w:t>了</w:t>
      </w:r>
      <w:r>
        <w:rPr>
          <w:rFonts w:hint="eastAsia" w:ascii="仿宋_GB2312" w:eastAsia="仿宋_GB2312"/>
          <w:sz w:val="32"/>
          <w:szCs w:val="32"/>
        </w:rPr>
        <w:t>人民群众的获得感、幸福感、安全感</w:t>
      </w:r>
      <w:r>
        <w:rPr>
          <w:rFonts w:hint="eastAsia" w:ascii="仿宋_GB2312" w:eastAsia="仿宋_GB2312"/>
          <w:sz w:val="32"/>
          <w:szCs w:val="32"/>
          <w:lang w:eastAsia="zh-CN"/>
        </w:rPr>
        <w:t>。</w:t>
      </w:r>
    </w:p>
    <w:p>
      <w:pPr>
        <w:widowControl/>
        <w:spacing w:line="600" w:lineRule="exact"/>
        <w:ind w:firstLine="645"/>
        <w:jc w:val="left"/>
        <w:rPr>
          <w:rFonts w:hint="eastAsia" w:ascii="Times New Roman" w:hAnsi="Times New Roman" w:eastAsia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202</w:t>
      </w:r>
      <w:r>
        <w:rPr>
          <w:rFonts w:hint="eastAsia" w:eastAsia="仿宋_GB2312"/>
          <w:sz w:val="32"/>
          <w:szCs w:val="32"/>
          <w:lang w:val="en-US" w:eastAsia="zh-CN"/>
        </w:rPr>
        <w:t>2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年部门整体支出绩效评价自查自评结果为优秀。</w:t>
      </w:r>
    </w:p>
    <w:p>
      <w:pPr>
        <w:widowControl/>
        <w:spacing w:line="600" w:lineRule="exact"/>
        <w:jc w:val="left"/>
        <w:rPr>
          <w:rFonts w:hint="eastAsia" w:ascii="Times New Roman" w:hAnsi="Times New Roman" w:eastAsia="仿宋_GB2312"/>
          <w:b/>
          <w:bCs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/>
          <w:b/>
          <w:bCs/>
          <w:sz w:val="32"/>
          <w:szCs w:val="32"/>
          <w:lang w:val="en-US" w:eastAsia="zh-CN"/>
        </w:rPr>
        <w:t xml:space="preserve">   （二）综合评价情况</w:t>
      </w:r>
    </w:p>
    <w:p>
      <w:pPr>
        <w:widowControl/>
        <w:spacing w:line="600" w:lineRule="exact"/>
        <w:ind w:firstLine="645"/>
        <w:jc w:val="left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eastAsia="仿宋_GB2312" w:cs="Times New Roman"/>
          <w:sz w:val="32"/>
          <w:szCs w:val="32"/>
          <w:lang w:val="en-US" w:eastAsia="zh-CN"/>
        </w:rPr>
        <w:t>1、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部门资金情况总分10分，得分10分。年度资金金额</w:t>
      </w:r>
      <w:r>
        <w:rPr>
          <w:rFonts w:hint="eastAsia" w:ascii="仿宋" w:hAnsi="仿宋" w:eastAsia="仿宋" w:cs="仿宋"/>
          <w:bCs/>
          <w:sz w:val="32"/>
          <w:szCs w:val="32"/>
          <w:lang w:val="en-US" w:eastAsia="zh-CN"/>
        </w:rPr>
        <w:t>686.58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万元，执行率为100%。</w:t>
      </w:r>
    </w:p>
    <w:p>
      <w:pPr>
        <w:snapToGrid w:val="0"/>
        <w:spacing w:line="520" w:lineRule="exact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eastAsia="仿宋_GB2312" w:cs="Times New Roman"/>
          <w:sz w:val="32"/>
          <w:szCs w:val="32"/>
          <w:lang w:val="en-US" w:eastAsia="zh-CN"/>
        </w:rPr>
        <w:t xml:space="preserve">    2、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产出及效益指标总分为80分，得分7</w:t>
      </w:r>
      <w:r>
        <w:rPr>
          <w:rFonts w:hint="eastAsia" w:eastAsia="仿宋_GB2312" w:cs="Times New Roman"/>
          <w:sz w:val="32"/>
          <w:szCs w:val="32"/>
          <w:lang w:val="en-US" w:eastAsia="zh-CN"/>
        </w:rPr>
        <w:t>8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分，主要情况如下：</w:t>
      </w:r>
    </w:p>
    <w:p>
      <w:pPr>
        <w:snapToGrid w:val="0"/>
        <w:spacing w:line="520" w:lineRule="exact"/>
        <w:ind w:firstLine="640" w:firstLineChars="200"/>
        <w:rPr>
          <w:rFonts w:hint="default" w:ascii="仿宋_GB2312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⑴产出指标总分为50分，得分</w:t>
      </w:r>
      <w:r>
        <w:rPr>
          <w:rFonts w:hint="eastAsia" w:eastAsia="仿宋_GB2312" w:cs="Times New Roman"/>
          <w:sz w:val="32"/>
          <w:szCs w:val="32"/>
          <w:lang w:val="en-US" w:eastAsia="zh-CN"/>
        </w:rPr>
        <w:t>48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分。一是数量指标</w:t>
      </w:r>
      <w:r>
        <w:rPr>
          <w:rFonts w:hint="eastAsia" w:eastAsia="仿宋_GB2312" w:cs="Times New Roman"/>
          <w:sz w:val="32"/>
          <w:szCs w:val="32"/>
          <w:lang w:val="en-US" w:eastAsia="zh-CN"/>
        </w:rPr>
        <w:t>3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个均完成指标值；二是质量指标</w:t>
      </w:r>
      <w:r>
        <w:rPr>
          <w:rFonts w:hint="eastAsia" w:eastAsia="仿宋_GB2312" w:cs="Times New Roman"/>
          <w:sz w:val="32"/>
          <w:szCs w:val="32"/>
          <w:lang w:val="en-US" w:eastAsia="zh-CN"/>
        </w:rPr>
        <w:t>2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个均完成指标值；三是时效指标</w:t>
      </w:r>
      <w:r>
        <w:rPr>
          <w:rFonts w:hint="eastAsia" w:eastAsia="仿宋_GB2312" w:cs="Times New Roman"/>
          <w:sz w:val="32"/>
          <w:szCs w:val="32"/>
          <w:lang w:val="en-US" w:eastAsia="zh-CN"/>
        </w:rPr>
        <w:t>1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个，截至年底，</w:t>
      </w:r>
      <w:r>
        <w:rPr>
          <w:rFonts w:hint="eastAsia" w:eastAsia="仿宋_GB2312" w:cs="Times New Roman"/>
          <w:sz w:val="32"/>
          <w:szCs w:val="32"/>
          <w:lang w:val="en-US" w:eastAsia="zh-CN"/>
        </w:rPr>
        <w:t>医保住院结算率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达</w:t>
      </w:r>
      <w:r>
        <w:rPr>
          <w:rFonts w:hint="eastAsia" w:eastAsia="仿宋_GB2312" w:cs="Times New Roman"/>
          <w:sz w:val="32"/>
          <w:szCs w:val="32"/>
          <w:lang w:val="en-US" w:eastAsia="zh-CN"/>
        </w:rPr>
        <w:t>90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%</w:t>
      </w:r>
      <w:r>
        <w:rPr>
          <w:rFonts w:hint="eastAsia" w:eastAsia="仿宋_GB2312" w:cs="Times New Roman"/>
          <w:sz w:val="32"/>
          <w:szCs w:val="32"/>
          <w:lang w:val="en-US" w:eastAsia="zh-CN"/>
        </w:rPr>
        <w:t>，由于国家医保平台网络接入，大数据统计功能不完善</w:t>
      </w:r>
      <w:r>
        <w:rPr>
          <w:rFonts w:hint="eastAsia" w:ascii="仿宋_GB2312" w:hAnsi="Times New Roman" w:eastAsia="仿宋_GB2312" w:cs="Times New Roman"/>
          <w:sz w:val="32"/>
          <w:szCs w:val="32"/>
          <w:lang w:val="en-US" w:eastAsia="zh-CN"/>
        </w:rPr>
        <w:t>。措施：</w:t>
      </w:r>
      <w:r>
        <w:rPr>
          <w:rFonts w:hint="eastAsia" w:ascii="仿宋_GB2312" w:eastAsia="仿宋_GB2312" w:cs="Times New Roman"/>
          <w:sz w:val="32"/>
          <w:szCs w:val="32"/>
          <w:lang w:val="en-US" w:eastAsia="zh-CN"/>
        </w:rPr>
        <w:t>及时与网络公司对接，加速住院结算及支付</w:t>
      </w:r>
      <w:r>
        <w:rPr>
          <w:rFonts w:hint="eastAsia" w:ascii="仿宋_GB2312" w:hAnsi="Times New Roman" w:eastAsia="仿宋_GB2312" w:cs="Times New Roman"/>
          <w:sz w:val="32"/>
          <w:szCs w:val="32"/>
          <w:lang w:val="en-US" w:eastAsia="zh-CN"/>
        </w:rPr>
        <w:t>。</w:t>
      </w:r>
    </w:p>
    <w:p>
      <w:pPr>
        <w:pStyle w:val="11"/>
        <w:ind w:firstLine="560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⑵效益指标总分30分，得分30分。</w:t>
      </w:r>
      <w:r>
        <w:rPr>
          <w:rFonts w:hint="eastAsia" w:eastAsia="仿宋_GB2312" w:cs="Times New Roman"/>
          <w:sz w:val="32"/>
          <w:szCs w:val="32"/>
          <w:lang w:val="en-US" w:eastAsia="zh-CN"/>
        </w:rPr>
        <w:t>一是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经济效益</w:t>
      </w:r>
      <w:r>
        <w:rPr>
          <w:rFonts w:hint="eastAsia" w:eastAsia="仿宋_GB2312" w:cs="Times New Roman"/>
          <w:sz w:val="32"/>
          <w:szCs w:val="32"/>
          <w:lang w:val="en-US" w:eastAsia="zh-CN"/>
        </w:rPr>
        <w:t>方面，</w:t>
      </w:r>
    </w:p>
    <w:p>
      <w:pPr>
        <w:pStyle w:val="11"/>
        <w:numPr>
          <w:ilvl w:val="0"/>
          <w:numId w:val="0"/>
        </w:numPr>
        <w:rPr>
          <w:rFonts w:hint="eastAsia" w:eastAsia="仿宋_GB2312" w:cs="Times New Roman"/>
          <w:b w:val="0"/>
          <w:bCs w:val="0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eastAsia="仿宋_GB2312" w:cs="Times New Roman"/>
          <w:color w:val="auto"/>
          <w:kern w:val="2"/>
          <w:sz w:val="32"/>
          <w:szCs w:val="32"/>
          <w:lang w:val="en-US" w:eastAsia="zh-CN" w:bidi="ar-SA"/>
        </w:rPr>
        <w:t>维持了基金收支平衡，略有结余。二是</w:t>
      </w:r>
      <w:r>
        <w:rPr>
          <w:rFonts w:hint="eastAsia" w:ascii="Times New Roman" w:hAnsi="Times New Roman" w:eastAsia="仿宋_GB2312" w:cs="Times New Roman"/>
          <w:color w:val="auto"/>
          <w:kern w:val="2"/>
          <w:sz w:val="32"/>
          <w:szCs w:val="32"/>
          <w:lang w:val="en-US" w:eastAsia="zh-CN" w:bidi="ar-SA"/>
        </w:rPr>
        <w:t>社会效益</w:t>
      </w:r>
      <w:r>
        <w:rPr>
          <w:rFonts w:hint="eastAsia" w:eastAsia="仿宋_GB2312" w:cs="Times New Roman"/>
          <w:color w:val="auto"/>
          <w:kern w:val="2"/>
          <w:sz w:val="32"/>
          <w:szCs w:val="32"/>
          <w:lang w:val="en-US" w:eastAsia="zh-CN" w:bidi="ar-SA"/>
        </w:rPr>
        <w:t>方面，保障了广大参保人员的医疗待遇，维护了社会的稳定。三是</w:t>
      </w:r>
      <w:r>
        <w:rPr>
          <w:rFonts w:hint="eastAsia" w:ascii="Times New Roman" w:hAnsi="Times New Roman" w:eastAsia="仿宋_GB2312" w:cs="Times New Roman"/>
          <w:color w:val="auto"/>
          <w:kern w:val="2"/>
          <w:sz w:val="32"/>
          <w:szCs w:val="32"/>
          <w:lang w:val="en-US" w:eastAsia="zh-CN" w:bidi="ar-SA"/>
        </w:rPr>
        <w:t>可持续影响指标</w:t>
      </w:r>
      <w:r>
        <w:rPr>
          <w:rFonts w:hint="eastAsia" w:eastAsia="仿宋_GB2312" w:cs="Times New Roman"/>
          <w:color w:val="auto"/>
          <w:kern w:val="2"/>
          <w:sz w:val="32"/>
          <w:szCs w:val="32"/>
          <w:lang w:val="en-US" w:eastAsia="zh-CN" w:bidi="ar-SA"/>
        </w:rPr>
        <w:t>方面，</w:t>
      </w:r>
      <w:r>
        <w:rPr>
          <w:rFonts w:hint="eastAsia" w:eastAsia="仿宋_GB2312" w:cs="Times New Roman"/>
          <w:b w:val="0"/>
          <w:bCs w:val="0"/>
          <w:color w:val="auto"/>
          <w:kern w:val="2"/>
          <w:sz w:val="32"/>
          <w:szCs w:val="32"/>
          <w:lang w:val="en-US" w:eastAsia="zh-CN" w:bidi="ar-SA"/>
        </w:rPr>
        <w:t>体现政策导向，长期保障工作平稳运行。</w:t>
      </w:r>
    </w:p>
    <w:p>
      <w:pPr>
        <w:pStyle w:val="11"/>
        <w:ind w:firstLine="560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eastAsia="仿宋_GB2312"/>
          <w:b w:val="0"/>
          <w:bCs w:val="0"/>
          <w:sz w:val="32"/>
          <w:szCs w:val="32"/>
          <w:lang w:val="en-US" w:eastAsia="zh-CN"/>
        </w:rPr>
        <w:t>3、</w:t>
      </w:r>
      <w:r>
        <w:rPr>
          <w:rFonts w:hint="eastAsia" w:ascii="Times New Roman" w:hAnsi="Times New Roman" w:eastAsia="仿宋_GB2312"/>
          <w:b w:val="0"/>
          <w:bCs w:val="0"/>
          <w:sz w:val="32"/>
          <w:szCs w:val="32"/>
          <w:lang w:val="en-US" w:eastAsia="zh-CN"/>
        </w:rPr>
        <w:t>满意度指标总分为10分，得分</w:t>
      </w:r>
      <w:r>
        <w:rPr>
          <w:rFonts w:hint="eastAsia" w:eastAsia="仿宋_GB2312"/>
          <w:b w:val="0"/>
          <w:bCs w:val="0"/>
          <w:sz w:val="32"/>
          <w:szCs w:val="32"/>
          <w:lang w:val="en-US" w:eastAsia="zh-CN"/>
        </w:rPr>
        <w:t>9</w:t>
      </w:r>
      <w:r>
        <w:rPr>
          <w:rFonts w:hint="eastAsia" w:ascii="Times New Roman" w:hAnsi="Times New Roman" w:eastAsia="仿宋_GB2312"/>
          <w:b w:val="0"/>
          <w:bCs w:val="0"/>
          <w:sz w:val="32"/>
          <w:szCs w:val="32"/>
          <w:lang w:val="en-US" w:eastAsia="zh-CN"/>
        </w:rPr>
        <w:t>分。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我们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一是简化精减办事环节。二是明确规定办结时限。三是锐减群众办事成本。推行“一条龙服务”、“一站式办结”、“一次式办完”，让群众少跑腿，让信息多跑路。四是</w:t>
      </w:r>
      <w:r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实行节假日窗口经办服务“不打烊”，真正方便了办事群众，深受社会广泛赞誉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，被国家医保局选为经典案例。做到服务群众“加时”、节假日“加班”。节假日医保经办服务加班、值班“不打烊”，如元旦、春节、清明、五一、端午、国庆、中秋等节假日安排窗口工作人员轮流值班上班，后再补休。解决群众平常无时间来办事，节假日有时间而政务中心又无人办事的问题；五是政务服务“加速”。群众可以通过电话、微信、短信、网上预约，窗口工作人员可以根据群众预约的事项在次日上班前或周六、周日进行办理。全心全意优化服务，提升了参保群众幸福指数。</w:t>
      </w:r>
    </w:p>
    <w:p>
      <w:pPr>
        <w:spacing w:line="560" w:lineRule="exact"/>
        <w:ind w:firstLine="640" w:firstLineChars="200"/>
        <w:rPr>
          <w:rFonts w:ascii="仿宋" w:hAnsi="仿宋" w:eastAsia="仿宋" w:cs="仿宋_GB2312"/>
          <w:color w:val="auto"/>
          <w:sz w:val="32"/>
          <w:szCs w:val="32"/>
        </w:rPr>
      </w:pPr>
      <w:r>
        <w:rPr>
          <w:rFonts w:hint="eastAsia" w:ascii="仿宋" w:hAnsi="仿宋" w:eastAsia="仿宋" w:cs="仿宋_GB2312"/>
          <w:color w:val="222222"/>
          <w:kern w:val="0"/>
          <w:sz w:val="32"/>
          <w:szCs w:val="32"/>
        </w:rPr>
        <w:t>我们遵循“客观、公正、科学、规范”的原则，采用“以结果为导向、基于证据”的绩效评价方法，进行评价体系的构建，从定性与定量两个角度综合考评，评价资金使用的效率与效益。评价采用目标预定与实施效果比较方法，将项目计划的绩效目标与其实际所产生的效益进行对比，对</w:t>
      </w:r>
      <w:r>
        <w:rPr>
          <w:rFonts w:hint="eastAsia" w:ascii="仿宋" w:hAnsi="仿宋" w:eastAsia="仿宋" w:cs="仿宋_GB2312"/>
          <w:sz w:val="32"/>
          <w:szCs w:val="32"/>
        </w:rPr>
        <w:t>202</w:t>
      </w: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2</w:t>
      </w:r>
      <w:r>
        <w:rPr>
          <w:rFonts w:hint="eastAsia" w:ascii="仿宋" w:hAnsi="仿宋" w:eastAsia="仿宋" w:cs="仿宋_GB2312"/>
          <w:sz w:val="32"/>
          <w:szCs w:val="32"/>
        </w:rPr>
        <w:t>年资金</w:t>
      </w:r>
      <w:r>
        <w:rPr>
          <w:rFonts w:hint="eastAsia" w:ascii="仿宋" w:hAnsi="仿宋" w:eastAsia="仿宋" w:cs="仿宋_GB2312"/>
          <w:color w:val="222222"/>
          <w:kern w:val="0"/>
          <w:sz w:val="32"/>
          <w:szCs w:val="32"/>
        </w:rPr>
        <w:t>的使用绩效作全面评价，项目前期工作、资金投入到位，管理规范，按序时进度要求完成了建设任务，取得了良好的社会、经济、生态效益，基本达到了预期的绩效目标，保障了各项工作任务的顺利进行。</w:t>
      </w:r>
    </w:p>
    <w:p>
      <w:pPr>
        <w:pStyle w:val="2"/>
        <w:rPr>
          <w:rFonts w:hint="eastAsia"/>
          <w:lang w:val="en-US" w:eastAsia="zh-CN"/>
        </w:rPr>
      </w:pPr>
    </w:p>
    <w:p>
      <w:pPr>
        <w:spacing w:line="600" w:lineRule="exact"/>
        <w:ind w:firstLine="640" w:firstLineChars="200"/>
        <w:jc w:val="both"/>
        <w:rPr>
          <w:rFonts w:ascii="仿宋" w:hAnsi="仿宋" w:eastAsia="仿宋" w:cs="仿宋"/>
          <w:bCs/>
          <w:sz w:val="32"/>
          <w:szCs w:val="32"/>
          <w:shd w:val="clear" w:color="auto" w:fill="FFFFFF"/>
          <w:lang w:eastAsia="zh-CN"/>
        </w:rPr>
      </w:pPr>
      <w:r>
        <w:rPr>
          <w:rFonts w:hint="eastAsia" w:ascii="仿宋" w:hAnsi="仿宋" w:eastAsia="仿宋" w:cs="仿宋"/>
          <w:bCs/>
          <w:sz w:val="32"/>
          <w:szCs w:val="32"/>
          <w:shd w:val="clear" w:color="auto" w:fill="FFFFFF"/>
          <w:lang w:eastAsia="zh-CN"/>
        </w:rPr>
        <w:t>经过绩效管理小组自评，</w:t>
      </w:r>
      <w:r>
        <w:rPr>
          <w:rFonts w:hint="eastAsia" w:ascii="仿宋" w:hAnsi="仿宋" w:eastAsia="仿宋" w:cs="仿宋"/>
          <w:bCs/>
          <w:sz w:val="32"/>
          <w:szCs w:val="32"/>
        </w:rPr>
        <w:t>本部门年初预算收入</w:t>
      </w:r>
      <w:r>
        <w:rPr>
          <w:rFonts w:hint="eastAsia" w:ascii="仿宋" w:hAnsi="仿宋" w:eastAsia="仿宋" w:cs="仿宋"/>
          <w:bCs/>
          <w:sz w:val="32"/>
          <w:szCs w:val="32"/>
          <w:lang w:val="en-US" w:eastAsia="zh-CN"/>
        </w:rPr>
        <w:t>250.64</w:t>
      </w:r>
      <w:r>
        <w:rPr>
          <w:rFonts w:hint="eastAsia" w:ascii="仿宋" w:hAnsi="仿宋" w:eastAsia="仿宋" w:cs="仿宋"/>
          <w:bCs/>
          <w:sz w:val="32"/>
          <w:szCs w:val="32"/>
        </w:rPr>
        <w:t>万元，</w:t>
      </w:r>
      <w:r>
        <w:rPr>
          <w:rFonts w:hint="eastAsia" w:ascii="仿宋" w:hAnsi="仿宋" w:eastAsia="仿宋" w:cs="仿宋"/>
          <w:bCs/>
          <w:sz w:val="32"/>
          <w:szCs w:val="32"/>
          <w:lang w:eastAsia="zh-CN"/>
        </w:rPr>
        <w:t>年中调整部分指标增拨一般财政拨款</w:t>
      </w:r>
      <w:r>
        <w:rPr>
          <w:rFonts w:hint="eastAsia" w:ascii="仿宋" w:hAnsi="仿宋" w:eastAsia="仿宋" w:cs="仿宋"/>
          <w:bCs/>
          <w:sz w:val="32"/>
          <w:szCs w:val="32"/>
          <w:lang w:val="en-US" w:eastAsia="zh-CN"/>
        </w:rPr>
        <w:t>429.64</w:t>
      </w:r>
      <w:r>
        <w:rPr>
          <w:rFonts w:hint="eastAsia" w:ascii="仿宋" w:hAnsi="仿宋" w:eastAsia="仿宋" w:cs="仿宋"/>
          <w:bCs/>
          <w:sz w:val="32"/>
          <w:szCs w:val="32"/>
          <w:lang w:eastAsia="zh-CN"/>
        </w:rPr>
        <w:t>万元，其他收入</w:t>
      </w:r>
      <w:r>
        <w:rPr>
          <w:rFonts w:hint="eastAsia" w:ascii="仿宋" w:hAnsi="仿宋" w:eastAsia="仿宋" w:cs="仿宋"/>
          <w:bCs/>
          <w:sz w:val="32"/>
          <w:szCs w:val="32"/>
          <w:lang w:val="en-US" w:eastAsia="zh-CN"/>
        </w:rPr>
        <w:t>6.3万元，</w:t>
      </w:r>
      <w:r>
        <w:rPr>
          <w:rFonts w:hint="eastAsia" w:ascii="仿宋" w:hAnsi="仿宋" w:eastAsia="仿宋" w:cs="仿宋"/>
          <w:bCs/>
          <w:sz w:val="32"/>
          <w:szCs w:val="32"/>
          <w:lang w:eastAsia="zh-CN"/>
        </w:rPr>
        <w:t>202</w:t>
      </w:r>
      <w:r>
        <w:rPr>
          <w:rFonts w:hint="eastAsia" w:ascii="仿宋" w:hAnsi="仿宋" w:eastAsia="仿宋" w:cs="仿宋"/>
          <w:bCs/>
          <w:sz w:val="32"/>
          <w:szCs w:val="32"/>
          <w:lang w:val="en-US" w:eastAsia="zh-CN"/>
        </w:rPr>
        <w:t>2</w:t>
      </w:r>
      <w:r>
        <w:rPr>
          <w:rFonts w:hint="eastAsia" w:ascii="仿宋" w:hAnsi="仿宋" w:eastAsia="仿宋" w:cs="仿宋"/>
          <w:bCs/>
          <w:sz w:val="32"/>
          <w:szCs w:val="32"/>
          <w:lang w:eastAsia="zh-CN"/>
        </w:rPr>
        <w:t>年当年收入</w:t>
      </w:r>
      <w:r>
        <w:rPr>
          <w:rFonts w:hint="eastAsia" w:ascii="仿宋" w:hAnsi="仿宋" w:eastAsia="仿宋" w:cs="仿宋"/>
          <w:bCs/>
          <w:sz w:val="32"/>
          <w:szCs w:val="32"/>
          <w:lang w:val="en-US" w:eastAsia="zh-CN"/>
        </w:rPr>
        <w:t>686.58</w:t>
      </w:r>
      <w:r>
        <w:rPr>
          <w:rFonts w:hint="eastAsia" w:ascii="仿宋" w:hAnsi="仿宋" w:eastAsia="仿宋" w:cs="仿宋"/>
          <w:bCs/>
          <w:sz w:val="32"/>
          <w:szCs w:val="32"/>
          <w:lang w:eastAsia="zh-CN"/>
        </w:rPr>
        <w:t>万元；上年度财政指标结转</w:t>
      </w:r>
      <w:r>
        <w:rPr>
          <w:rFonts w:hint="eastAsia" w:ascii="仿宋" w:hAnsi="仿宋" w:eastAsia="仿宋" w:cs="仿宋"/>
          <w:bCs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bCs/>
          <w:sz w:val="32"/>
          <w:szCs w:val="32"/>
          <w:lang w:eastAsia="zh-CN"/>
        </w:rPr>
        <w:t>万元；全年收入总计</w:t>
      </w:r>
      <w:r>
        <w:rPr>
          <w:rFonts w:hint="eastAsia" w:ascii="仿宋" w:hAnsi="仿宋" w:eastAsia="仿宋" w:cs="仿宋"/>
          <w:bCs/>
          <w:sz w:val="32"/>
          <w:szCs w:val="32"/>
          <w:lang w:val="en-US" w:eastAsia="zh-CN"/>
        </w:rPr>
        <w:t>686.58万元。</w:t>
      </w:r>
      <w:r>
        <w:rPr>
          <w:rFonts w:hint="eastAsia" w:ascii="仿宋" w:hAnsi="仿宋" w:eastAsia="仿宋" w:cs="仿宋"/>
          <w:bCs/>
          <w:sz w:val="32"/>
          <w:szCs w:val="32"/>
          <w:lang w:eastAsia="zh-CN"/>
        </w:rPr>
        <w:t>202</w:t>
      </w:r>
      <w:r>
        <w:rPr>
          <w:rFonts w:hint="eastAsia" w:ascii="仿宋" w:hAnsi="仿宋" w:eastAsia="仿宋" w:cs="仿宋"/>
          <w:bCs/>
          <w:sz w:val="32"/>
          <w:szCs w:val="32"/>
          <w:lang w:val="en-US" w:eastAsia="zh-CN"/>
        </w:rPr>
        <w:t>2</w:t>
      </w:r>
      <w:r>
        <w:rPr>
          <w:rFonts w:hint="eastAsia" w:ascii="仿宋" w:hAnsi="仿宋" w:eastAsia="仿宋" w:cs="仿宋"/>
          <w:bCs/>
          <w:sz w:val="32"/>
          <w:szCs w:val="32"/>
          <w:lang w:eastAsia="zh-CN"/>
        </w:rPr>
        <w:t>年全年支出总计</w:t>
      </w:r>
      <w:r>
        <w:rPr>
          <w:rFonts w:hint="eastAsia" w:ascii="仿宋" w:hAnsi="仿宋" w:eastAsia="仿宋" w:cs="仿宋"/>
          <w:bCs/>
          <w:sz w:val="32"/>
          <w:szCs w:val="32"/>
          <w:lang w:val="en-US" w:eastAsia="zh-CN"/>
        </w:rPr>
        <w:t>686.58</w:t>
      </w:r>
      <w:r>
        <w:rPr>
          <w:rFonts w:hint="eastAsia" w:ascii="仿宋" w:hAnsi="仿宋" w:eastAsia="仿宋" w:cs="仿宋"/>
          <w:bCs/>
          <w:sz w:val="32"/>
          <w:szCs w:val="32"/>
          <w:lang w:eastAsia="zh-CN"/>
        </w:rPr>
        <w:t>万元。</w:t>
      </w:r>
      <w:r>
        <w:rPr>
          <w:rFonts w:hint="eastAsia" w:ascii="仿宋" w:hAnsi="仿宋" w:eastAsia="仿宋" w:cs="仿宋"/>
          <w:bCs/>
          <w:color w:val="000000" w:themeColor="text1"/>
          <w:sz w:val="32"/>
          <w:szCs w:val="32"/>
          <w:shd w:val="clear" w:color="auto" w:fill="FFFFFF"/>
          <w:lang w:eastAsia="zh-CN"/>
          <w14:textFill>
            <w14:solidFill>
              <w14:schemeClr w14:val="tx1"/>
            </w14:solidFill>
          </w14:textFill>
        </w:rPr>
        <w:t>执行率</w:t>
      </w:r>
      <w:r>
        <w:rPr>
          <w:rFonts w:hint="eastAsia" w:ascii="仿宋" w:hAnsi="仿宋" w:eastAsia="仿宋" w:cs="仿宋"/>
          <w:bCs/>
          <w:color w:val="000000" w:themeColor="text1"/>
          <w:sz w:val="32"/>
          <w:szCs w:val="32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100</w:t>
      </w:r>
      <w:r>
        <w:rPr>
          <w:rFonts w:hint="eastAsia" w:ascii="仿宋" w:hAnsi="仿宋" w:eastAsia="仿宋" w:cs="仿宋"/>
          <w:bCs/>
          <w:color w:val="000000" w:themeColor="text1"/>
          <w:sz w:val="32"/>
          <w:szCs w:val="32"/>
          <w:shd w:val="clear" w:color="auto" w:fill="FFFFFF"/>
          <w:lang w:eastAsia="zh-CN"/>
          <w14:textFill>
            <w14:solidFill>
              <w14:schemeClr w14:val="tx1"/>
            </w14:solidFill>
          </w14:textFill>
        </w:rPr>
        <w:t>%，得分</w:t>
      </w:r>
      <w:r>
        <w:rPr>
          <w:rFonts w:hint="eastAsia" w:ascii="仿宋" w:hAnsi="仿宋" w:eastAsia="仿宋" w:cs="仿宋"/>
          <w:bCs/>
          <w:color w:val="000000" w:themeColor="text1"/>
          <w:sz w:val="32"/>
          <w:szCs w:val="32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10</w:t>
      </w:r>
      <w:r>
        <w:rPr>
          <w:rFonts w:hint="eastAsia" w:ascii="仿宋" w:hAnsi="仿宋" w:eastAsia="仿宋" w:cs="仿宋"/>
          <w:bCs/>
          <w:color w:val="000000" w:themeColor="text1"/>
          <w:sz w:val="32"/>
          <w:szCs w:val="32"/>
          <w:shd w:val="clear" w:color="auto" w:fill="FFFFFF"/>
          <w:lang w:eastAsia="zh-CN"/>
          <w14:textFill>
            <w14:solidFill>
              <w14:schemeClr w14:val="tx1"/>
            </w14:solidFill>
          </w14:textFill>
        </w:rPr>
        <w:t>分；</w:t>
      </w:r>
      <w:r>
        <w:rPr>
          <w:rFonts w:hint="eastAsia" w:ascii="仿宋" w:hAnsi="仿宋" w:eastAsia="仿宋" w:cs="仿宋"/>
          <w:bCs/>
          <w:sz w:val="32"/>
          <w:szCs w:val="32"/>
          <w:shd w:val="clear" w:color="auto" w:fill="FFFFFF"/>
          <w:lang w:eastAsia="zh-CN"/>
        </w:rPr>
        <w:t>各项绩效指标反映在数量、质量、时效、成本方面指标值上均达到我局年初制定的计划数，得分</w:t>
      </w:r>
      <w:r>
        <w:rPr>
          <w:rFonts w:hint="eastAsia" w:ascii="仿宋" w:hAnsi="仿宋" w:eastAsia="仿宋" w:cs="仿宋"/>
          <w:bCs/>
          <w:sz w:val="32"/>
          <w:szCs w:val="32"/>
          <w:shd w:val="clear" w:color="auto" w:fill="FFFFFF"/>
          <w:lang w:val="en-US" w:eastAsia="zh-CN"/>
        </w:rPr>
        <w:t>48</w:t>
      </w:r>
      <w:r>
        <w:rPr>
          <w:rFonts w:hint="eastAsia" w:ascii="仿宋" w:hAnsi="仿宋" w:eastAsia="仿宋" w:cs="仿宋"/>
          <w:bCs/>
          <w:sz w:val="32"/>
          <w:szCs w:val="32"/>
          <w:shd w:val="clear" w:color="auto" w:fill="FFFFFF"/>
          <w:lang w:eastAsia="zh-CN"/>
        </w:rPr>
        <w:t>分；各项绩效指标反映在经济效益、社会效益、可持续影响指标值上，得分</w:t>
      </w:r>
      <w:r>
        <w:rPr>
          <w:rFonts w:hint="eastAsia" w:ascii="仿宋" w:hAnsi="仿宋" w:eastAsia="仿宋" w:cs="仿宋"/>
          <w:bCs/>
          <w:sz w:val="32"/>
          <w:szCs w:val="32"/>
          <w:shd w:val="clear" w:color="auto" w:fill="FFFFFF"/>
          <w:lang w:val="en-US" w:eastAsia="zh-CN"/>
        </w:rPr>
        <w:t>30</w:t>
      </w:r>
      <w:r>
        <w:rPr>
          <w:rFonts w:hint="eastAsia" w:ascii="仿宋" w:hAnsi="仿宋" w:eastAsia="仿宋" w:cs="仿宋"/>
          <w:bCs/>
          <w:sz w:val="32"/>
          <w:szCs w:val="32"/>
          <w:shd w:val="clear" w:color="auto" w:fill="FFFFFF"/>
          <w:lang w:eastAsia="zh-CN"/>
        </w:rPr>
        <w:t>分；在社会公众或服务对象满意度指标值上，我局做到了服务质量好、工作水平高，社会公众或服务对象满意度达到9</w:t>
      </w:r>
      <w:r>
        <w:rPr>
          <w:rFonts w:hint="eastAsia" w:ascii="仿宋" w:hAnsi="仿宋" w:eastAsia="仿宋" w:cs="仿宋"/>
          <w:bCs/>
          <w:sz w:val="32"/>
          <w:szCs w:val="32"/>
          <w:shd w:val="clear" w:color="auto" w:fill="FFFFFF"/>
          <w:lang w:val="en-US" w:eastAsia="zh-CN"/>
        </w:rPr>
        <w:t>8</w:t>
      </w:r>
      <w:r>
        <w:rPr>
          <w:rFonts w:hint="eastAsia" w:ascii="仿宋" w:hAnsi="仿宋" w:eastAsia="仿宋" w:cs="仿宋"/>
          <w:bCs/>
          <w:sz w:val="32"/>
          <w:szCs w:val="32"/>
          <w:shd w:val="clear" w:color="auto" w:fill="FFFFFF"/>
          <w:lang w:eastAsia="zh-CN"/>
        </w:rPr>
        <w:t>%以上，得分</w:t>
      </w:r>
      <w:r>
        <w:rPr>
          <w:rFonts w:hint="eastAsia" w:ascii="仿宋" w:hAnsi="仿宋" w:eastAsia="仿宋" w:cs="仿宋"/>
          <w:bCs/>
          <w:sz w:val="32"/>
          <w:szCs w:val="32"/>
          <w:shd w:val="clear" w:color="auto" w:fill="FFFFFF"/>
          <w:lang w:val="en-US" w:eastAsia="zh-CN"/>
        </w:rPr>
        <w:t>9</w:t>
      </w:r>
      <w:r>
        <w:rPr>
          <w:rFonts w:hint="eastAsia" w:ascii="仿宋" w:hAnsi="仿宋" w:eastAsia="仿宋" w:cs="仿宋"/>
          <w:bCs/>
          <w:sz w:val="32"/>
          <w:szCs w:val="32"/>
          <w:shd w:val="clear" w:color="auto" w:fill="FFFFFF"/>
          <w:lang w:eastAsia="zh-CN"/>
        </w:rPr>
        <w:t>分；自评总得分9</w:t>
      </w:r>
      <w:r>
        <w:rPr>
          <w:rFonts w:hint="eastAsia" w:ascii="仿宋" w:hAnsi="仿宋" w:eastAsia="仿宋" w:cs="仿宋"/>
          <w:bCs/>
          <w:sz w:val="32"/>
          <w:szCs w:val="32"/>
          <w:shd w:val="clear" w:color="auto" w:fill="FFFFFF"/>
          <w:lang w:val="en-US" w:eastAsia="zh-CN"/>
        </w:rPr>
        <w:t>7</w:t>
      </w:r>
      <w:r>
        <w:rPr>
          <w:rFonts w:hint="eastAsia" w:ascii="仿宋" w:hAnsi="仿宋" w:eastAsia="仿宋" w:cs="仿宋"/>
          <w:bCs/>
          <w:sz w:val="32"/>
          <w:szCs w:val="32"/>
          <w:shd w:val="clear" w:color="auto" w:fill="FFFFFF"/>
          <w:lang w:eastAsia="zh-CN"/>
        </w:rPr>
        <w:t>分，评价等级为优秀。</w:t>
      </w:r>
    </w:p>
    <w:p>
      <w:pPr>
        <w:pStyle w:val="9"/>
        <w:spacing w:after="60" w:line="603" w:lineRule="exact"/>
        <w:ind w:firstLine="640" w:firstLineChars="200"/>
        <w:jc w:val="both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七</w:t>
      </w:r>
      <w:r>
        <w:rPr>
          <w:rFonts w:hint="eastAsia" w:ascii="黑体" w:hAnsi="黑体" w:eastAsia="黑体" w:cs="黑体"/>
          <w:sz w:val="32"/>
          <w:szCs w:val="32"/>
        </w:rPr>
        <w:t>、存在的主要问题</w:t>
      </w:r>
    </w:p>
    <w:p>
      <w:pPr>
        <w:pStyle w:val="6"/>
        <w:widowControl/>
        <w:spacing w:beforeAutospacing="0" w:afterAutospacing="0" w:line="640" w:lineRule="exact"/>
        <w:ind w:firstLine="640" w:firstLineChars="200"/>
        <w:rPr>
          <w:rFonts w:hint="eastAsia" w:ascii="仿宋" w:hAnsi="仿宋" w:eastAsia="仿宋" w:cs="仿宋"/>
          <w:kern w:val="2"/>
          <w:sz w:val="32"/>
          <w:szCs w:val="32"/>
        </w:rPr>
      </w:pPr>
      <w:bookmarkStart w:id="5" w:name="bookmark12"/>
      <w:r>
        <w:rPr>
          <w:rFonts w:hint="eastAsia" w:ascii="仿宋" w:hAnsi="仿宋" w:eastAsia="仿宋" w:cs="仿宋"/>
          <w:kern w:val="2"/>
          <w:sz w:val="32"/>
          <w:szCs w:val="32"/>
          <w:lang w:val="en-US" w:eastAsia="zh-CN"/>
        </w:rPr>
        <w:t>1</w:t>
      </w:r>
      <w:r>
        <w:rPr>
          <w:rFonts w:hint="eastAsia" w:ascii="仿宋" w:hAnsi="仿宋" w:eastAsia="仿宋" w:cs="仿宋"/>
          <w:kern w:val="2"/>
          <w:sz w:val="32"/>
          <w:szCs w:val="32"/>
          <w:lang w:eastAsia="zh-CN"/>
        </w:rPr>
        <w:t>、由于工作经费下达较晚，绩效管理中存在支出不均衡，存在集中在某一段时间支出的情况</w:t>
      </w:r>
      <w:r>
        <w:rPr>
          <w:rFonts w:hint="eastAsia" w:ascii="仿宋" w:hAnsi="仿宋" w:eastAsia="仿宋" w:cs="仿宋"/>
          <w:kern w:val="2"/>
          <w:sz w:val="32"/>
          <w:szCs w:val="32"/>
        </w:rPr>
        <w:t>。</w:t>
      </w:r>
    </w:p>
    <w:p>
      <w:pPr>
        <w:pStyle w:val="6"/>
        <w:widowControl/>
        <w:spacing w:beforeAutospacing="0" w:afterAutospacing="0" w:line="640" w:lineRule="exact"/>
        <w:ind w:firstLine="640" w:firstLineChars="200"/>
        <w:rPr>
          <w:rFonts w:hint="eastAsia" w:ascii="仿宋" w:hAnsi="仿宋" w:eastAsia="仿宋" w:cs="仿宋"/>
          <w:kern w:val="2"/>
          <w:sz w:val="32"/>
          <w:szCs w:val="32"/>
        </w:rPr>
      </w:pPr>
      <w:r>
        <w:rPr>
          <w:rFonts w:hint="eastAsia" w:ascii="仿宋" w:hAnsi="仿宋" w:eastAsia="仿宋" w:cs="仿宋"/>
          <w:kern w:val="2"/>
          <w:sz w:val="32"/>
          <w:szCs w:val="32"/>
          <w:lang w:val="en-US" w:eastAsia="zh-CN"/>
        </w:rPr>
        <w:t>2</w:t>
      </w:r>
      <w:r>
        <w:rPr>
          <w:rFonts w:hint="eastAsia" w:ascii="仿宋" w:hAnsi="仿宋" w:eastAsia="仿宋" w:cs="仿宋"/>
          <w:kern w:val="2"/>
          <w:sz w:val="32"/>
          <w:szCs w:val="32"/>
          <w:lang w:eastAsia="zh-CN"/>
        </w:rPr>
        <w:t>、</w:t>
      </w:r>
      <w:r>
        <w:rPr>
          <w:rFonts w:hint="eastAsia" w:ascii="仿宋" w:hAnsi="仿宋" w:eastAsia="仿宋" w:cs="仿宋"/>
          <w:kern w:val="2"/>
          <w:sz w:val="32"/>
          <w:szCs w:val="32"/>
        </w:rPr>
        <w:t>我</w:t>
      </w:r>
      <w:r>
        <w:rPr>
          <w:rFonts w:hint="eastAsia" w:ascii="仿宋" w:hAnsi="仿宋" w:eastAsia="仿宋" w:cs="仿宋"/>
          <w:kern w:val="2"/>
          <w:sz w:val="32"/>
          <w:szCs w:val="32"/>
          <w:lang w:eastAsia="zh-CN"/>
        </w:rPr>
        <w:t>局一般公共预算太</w:t>
      </w:r>
      <w:r>
        <w:rPr>
          <w:rFonts w:hint="eastAsia" w:ascii="仿宋" w:hAnsi="仿宋" w:eastAsia="仿宋" w:cs="仿宋"/>
          <w:kern w:val="2"/>
          <w:sz w:val="32"/>
          <w:szCs w:val="32"/>
        </w:rPr>
        <w:t>低，特别是一般性公用支出部分的基数标准</w:t>
      </w:r>
      <w:r>
        <w:rPr>
          <w:rFonts w:hint="eastAsia" w:ascii="仿宋" w:hAnsi="仿宋" w:eastAsia="仿宋" w:cs="仿宋"/>
          <w:kern w:val="2"/>
          <w:sz w:val="32"/>
          <w:szCs w:val="32"/>
          <w:lang w:eastAsia="zh-CN"/>
        </w:rPr>
        <w:t>低；专项工作经费没有纳入财政年初预算；</w:t>
      </w:r>
      <w:r>
        <w:rPr>
          <w:rFonts w:hint="eastAsia" w:ascii="仿宋" w:hAnsi="仿宋" w:eastAsia="仿宋" w:cs="仿宋"/>
          <w:kern w:val="2"/>
          <w:sz w:val="32"/>
          <w:szCs w:val="32"/>
        </w:rPr>
        <w:t>公用经费控制有一定难度，基本为刚性支出。</w:t>
      </w:r>
    </w:p>
    <w:bookmarkEnd w:id="5"/>
    <w:p>
      <w:pPr>
        <w:pStyle w:val="9"/>
        <w:tabs>
          <w:tab w:val="left" w:pos="1258"/>
        </w:tabs>
        <w:spacing w:line="598" w:lineRule="exact"/>
        <w:ind w:firstLine="640"/>
        <w:jc w:val="both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八</w:t>
      </w:r>
      <w:r>
        <w:rPr>
          <w:rFonts w:hint="eastAsia" w:ascii="黑体" w:hAnsi="黑体" w:eastAsia="黑体" w:cs="黑体"/>
          <w:sz w:val="32"/>
          <w:szCs w:val="32"/>
        </w:rPr>
        <w:t>、下一步改进措施</w:t>
      </w:r>
      <w:r>
        <w:rPr>
          <w:rFonts w:hint="eastAsia" w:ascii="黑体" w:hAnsi="黑体" w:eastAsia="黑体" w:cs="黑体"/>
          <w:sz w:val="32"/>
          <w:szCs w:val="32"/>
          <w:lang w:eastAsia="zh-CN"/>
        </w:rPr>
        <w:t>及</w:t>
      </w:r>
      <w:r>
        <w:rPr>
          <w:rFonts w:hint="eastAsia" w:ascii="黑体" w:hAnsi="黑体" w:eastAsia="黑体" w:cs="黑体"/>
          <w:sz w:val="32"/>
          <w:szCs w:val="32"/>
        </w:rPr>
        <w:t>有关建议</w:t>
      </w:r>
    </w:p>
    <w:p>
      <w:pPr>
        <w:pStyle w:val="6"/>
        <w:widowControl/>
        <w:spacing w:beforeAutospacing="0" w:afterAutospacing="0" w:line="640" w:lineRule="exact"/>
        <w:ind w:firstLine="640" w:firstLineChars="200"/>
        <w:rPr>
          <w:rFonts w:hint="eastAsia" w:ascii="仿宋" w:hAnsi="仿宋" w:eastAsia="仿宋" w:cs="仿宋"/>
          <w:kern w:val="2"/>
          <w:sz w:val="32"/>
          <w:szCs w:val="32"/>
          <w:lang w:eastAsia="zh-CN"/>
        </w:rPr>
      </w:pPr>
      <w:bookmarkStart w:id="6" w:name="bookmark13"/>
      <w:r>
        <w:rPr>
          <w:rFonts w:hint="eastAsia" w:ascii="仿宋" w:hAnsi="仿宋" w:eastAsia="仿宋" w:cs="仿宋"/>
          <w:kern w:val="2"/>
          <w:sz w:val="32"/>
          <w:szCs w:val="32"/>
        </w:rPr>
        <w:t>1</w:t>
      </w:r>
      <w:r>
        <w:rPr>
          <w:rFonts w:hint="eastAsia" w:ascii="仿宋" w:hAnsi="仿宋" w:eastAsia="仿宋" w:cs="仿宋"/>
          <w:kern w:val="2"/>
          <w:sz w:val="32"/>
          <w:szCs w:val="32"/>
          <w:lang w:eastAsia="zh-CN"/>
        </w:rPr>
        <w:t>、</w:t>
      </w:r>
      <w:r>
        <w:rPr>
          <w:rFonts w:hint="eastAsia" w:ascii="仿宋" w:hAnsi="仿宋" w:eastAsia="仿宋" w:cs="仿宋"/>
          <w:kern w:val="2"/>
          <w:sz w:val="32"/>
          <w:szCs w:val="32"/>
        </w:rPr>
        <w:t>加强对单位财务人员的培训力度，充实业务知识</w:t>
      </w:r>
      <w:r>
        <w:rPr>
          <w:rFonts w:hint="eastAsia" w:ascii="仿宋" w:hAnsi="仿宋" w:eastAsia="仿宋" w:cs="仿宋"/>
          <w:kern w:val="2"/>
          <w:sz w:val="32"/>
          <w:szCs w:val="32"/>
          <w:lang w:eastAsia="zh-CN"/>
        </w:rPr>
        <w:t>。</w:t>
      </w:r>
    </w:p>
    <w:p>
      <w:pPr>
        <w:pStyle w:val="6"/>
        <w:widowControl/>
        <w:spacing w:beforeAutospacing="0" w:afterAutospacing="0" w:line="640" w:lineRule="exact"/>
        <w:ind w:firstLine="640" w:firstLineChars="200"/>
        <w:rPr>
          <w:rFonts w:hint="eastAsia" w:ascii="仿宋" w:hAnsi="仿宋" w:eastAsia="仿宋" w:cs="仿宋"/>
          <w:kern w:val="2"/>
          <w:sz w:val="32"/>
          <w:szCs w:val="32"/>
        </w:rPr>
      </w:pPr>
      <w:r>
        <w:rPr>
          <w:rFonts w:hint="eastAsia" w:ascii="仿宋" w:hAnsi="仿宋" w:eastAsia="仿宋" w:cs="仿宋"/>
          <w:kern w:val="2"/>
          <w:sz w:val="32"/>
          <w:szCs w:val="32"/>
          <w:lang w:val="en-US" w:eastAsia="zh-CN"/>
        </w:rPr>
        <w:t>2</w:t>
      </w:r>
      <w:r>
        <w:rPr>
          <w:rFonts w:hint="eastAsia" w:ascii="仿宋" w:hAnsi="仿宋" w:eastAsia="仿宋" w:cs="仿宋"/>
          <w:kern w:val="2"/>
          <w:sz w:val="32"/>
          <w:szCs w:val="32"/>
          <w:lang w:eastAsia="zh-CN"/>
        </w:rPr>
        <w:t>、</w:t>
      </w:r>
      <w:r>
        <w:rPr>
          <w:rFonts w:hint="eastAsia" w:ascii="仿宋" w:hAnsi="仿宋" w:eastAsia="仿宋" w:cs="仿宋"/>
          <w:kern w:val="2"/>
          <w:sz w:val="32"/>
          <w:szCs w:val="32"/>
        </w:rPr>
        <w:t>在原有的财政部门预算基础上适当调高我</w:t>
      </w:r>
      <w:r>
        <w:rPr>
          <w:rFonts w:hint="eastAsia" w:ascii="仿宋" w:hAnsi="仿宋" w:eastAsia="仿宋" w:cs="仿宋"/>
          <w:kern w:val="2"/>
          <w:sz w:val="32"/>
          <w:szCs w:val="32"/>
          <w:lang w:eastAsia="zh-CN"/>
        </w:rPr>
        <w:t>局</w:t>
      </w:r>
      <w:r>
        <w:rPr>
          <w:rFonts w:hint="eastAsia" w:ascii="仿宋" w:hAnsi="仿宋" w:eastAsia="仿宋" w:cs="仿宋"/>
          <w:kern w:val="2"/>
          <w:sz w:val="32"/>
          <w:szCs w:val="32"/>
        </w:rPr>
        <w:t>的行政</w:t>
      </w:r>
      <w:r>
        <w:rPr>
          <w:rFonts w:hint="eastAsia" w:ascii="仿宋" w:hAnsi="仿宋" w:eastAsia="仿宋" w:cs="仿宋"/>
          <w:kern w:val="2"/>
          <w:sz w:val="32"/>
          <w:szCs w:val="32"/>
          <w:lang w:eastAsia="zh-CN"/>
        </w:rPr>
        <w:t>工作</w:t>
      </w:r>
      <w:r>
        <w:rPr>
          <w:rFonts w:hint="eastAsia" w:ascii="仿宋" w:hAnsi="仿宋" w:eastAsia="仿宋" w:cs="仿宋"/>
          <w:kern w:val="2"/>
          <w:sz w:val="32"/>
          <w:szCs w:val="32"/>
        </w:rPr>
        <w:t>经费基数标准，</w:t>
      </w:r>
      <w:r>
        <w:rPr>
          <w:rFonts w:hint="eastAsia" w:ascii="仿宋" w:hAnsi="仿宋" w:eastAsia="仿宋" w:cs="仿宋"/>
          <w:kern w:val="2"/>
          <w:sz w:val="32"/>
          <w:szCs w:val="32"/>
          <w:lang w:eastAsia="zh-CN"/>
        </w:rPr>
        <w:t>将打击欺诈骗取医保基金行为</w:t>
      </w:r>
      <w:r>
        <w:rPr>
          <w:rFonts w:hint="eastAsia" w:ascii="仿宋" w:hAnsi="仿宋" w:eastAsia="仿宋" w:cs="仿宋"/>
          <w:kern w:val="2"/>
          <w:sz w:val="32"/>
          <w:szCs w:val="32"/>
        </w:rPr>
        <w:t>等相关工作经费</w:t>
      </w:r>
      <w:r>
        <w:rPr>
          <w:rFonts w:hint="eastAsia" w:ascii="仿宋" w:hAnsi="仿宋" w:eastAsia="仿宋" w:cs="仿宋"/>
          <w:kern w:val="2"/>
          <w:sz w:val="32"/>
          <w:szCs w:val="32"/>
          <w:lang w:eastAsia="zh-CN"/>
        </w:rPr>
        <w:t>纳入财政年初预算</w:t>
      </w:r>
      <w:r>
        <w:rPr>
          <w:rFonts w:hint="eastAsia" w:ascii="仿宋" w:hAnsi="仿宋" w:eastAsia="仿宋" w:cs="仿宋"/>
          <w:kern w:val="2"/>
          <w:sz w:val="32"/>
          <w:szCs w:val="32"/>
        </w:rPr>
        <w:t>。</w:t>
      </w:r>
    </w:p>
    <w:bookmarkEnd w:id="6"/>
    <w:p>
      <w:pPr>
        <w:pStyle w:val="9"/>
        <w:tabs>
          <w:tab w:val="left" w:pos="1258"/>
        </w:tabs>
        <w:spacing w:line="599" w:lineRule="exact"/>
        <w:ind w:firstLine="640"/>
        <w:jc w:val="both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九</w:t>
      </w:r>
      <w:r>
        <w:rPr>
          <w:rFonts w:hint="eastAsia" w:ascii="黑体" w:hAnsi="黑体" w:eastAsia="黑体" w:cs="黑体"/>
          <w:sz w:val="32"/>
          <w:szCs w:val="32"/>
        </w:rPr>
        <w:t>、</w:t>
      </w:r>
      <w:r>
        <w:rPr>
          <w:rFonts w:hint="eastAsia" w:ascii="黑体" w:hAnsi="黑体" w:eastAsia="黑体" w:cs="黑体"/>
          <w:sz w:val="32"/>
          <w:szCs w:val="32"/>
          <w:lang w:eastAsia="zh-CN"/>
        </w:rPr>
        <w:t>其他需要说明的情况</w:t>
      </w:r>
    </w:p>
    <w:p>
      <w:pPr>
        <w:pStyle w:val="9"/>
        <w:spacing w:line="598" w:lineRule="exact"/>
        <w:ind w:firstLine="620"/>
        <w:jc w:val="both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无</w:t>
      </w:r>
    </w:p>
    <w:p>
      <w:pPr>
        <w:pStyle w:val="9"/>
        <w:spacing w:line="598" w:lineRule="exact"/>
        <w:ind w:firstLine="620"/>
        <w:jc w:val="both"/>
        <w:rPr>
          <w:rFonts w:hint="eastAsia" w:ascii="仿宋" w:hAnsi="仿宋" w:eastAsia="仿宋" w:cs="仿宋"/>
          <w:sz w:val="32"/>
          <w:szCs w:val="32"/>
          <w:lang w:eastAsia="zh-CN"/>
        </w:rPr>
      </w:pPr>
    </w:p>
    <w:p>
      <w:pPr>
        <w:pStyle w:val="9"/>
        <w:spacing w:line="598" w:lineRule="exact"/>
        <w:ind w:firstLine="620"/>
        <w:jc w:val="both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附件：1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-1</w:t>
      </w:r>
      <w:r>
        <w:rPr>
          <w:rFonts w:hint="eastAsia" w:ascii="仿宋" w:hAnsi="仿宋" w:eastAsia="仿宋" w:cs="仿宋"/>
          <w:sz w:val="32"/>
          <w:szCs w:val="32"/>
        </w:rPr>
        <w:t>、部门整体支出绩效评价基础数据表</w:t>
      </w:r>
      <w:bookmarkStart w:id="7" w:name="bookmark14"/>
    </w:p>
    <w:p>
      <w:pPr>
        <w:pStyle w:val="9"/>
        <w:spacing w:line="600" w:lineRule="exact"/>
        <w:ind w:firstLine="113"/>
        <w:jc w:val="both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    1-</w:t>
      </w:r>
      <w:r>
        <w:rPr>
          <w:rFonts w:hint="eastAsia" w:ascii="仿宋" w:hAnsi="仿宋" w:eastAsia="仿宋" w:cs="仿宋"/>
          <w:sz w:val="32"/>
          <w:szCs w:val="32"/>
        </w:rPr>
        <w:t>2</w:t>
      </w:r>
      <w:bookmarkEnd w:id="7"/>
      <w:r>
        <w:rPr>
          <w:rFonts w:hint="eastAsia" w:ascii="仿宋" w:hAnsi="仿宋" w:eastAsia="仿宋" w:cs="仿宋"/>
          <w:sz w:val="32"/>
          <w:szCs w:val="32"/>
        </w:rPr>
        <w:t>、部门整体支出绩效自评表</w:t>
      </w:r>
    </w:p>
    <w:p>
      <w:pPr>
        <w:widowControl/>
        <w:jc w:val="both"/>
        <w:rPr>
          <w:rFonts w:ascii="方正小标宋_GBK" w:hAnsi="方正小标宋_GBK" w:eastAsia="方正小标宋_GBK" w:cs="方正小标宋_GBK"/>
          <w:sz w:val="20"/>
          <w:szCs w:val="20"/>
          <w:lang w:eastAsia="zh-CN"/>
        </w:rPr>
      </w:pPr>
    </w:p>
    <w:p>
      <w:pPr>
        <w:widowControl/>
        <w:jc w:val="both"/>
        <w:rPr>
          <w:rFonts w:ascii="方正小标宋_GBK" w:hAnsi="方正小标宋_GBK" w:eastAsia="方正小标宋_GBK" w:cs="方正小标宋_GBK"/>
          <w:sz w:val="20"/>
          <w:szCs w:val="20"/>
          <w:lang w:eastAsia="zh-CN"/>
        </w:rPr>
      </w:pPr>
    </w:p>
    <w:p>
      <w:pPr>
        <w:pStyle w:val="2"/>
        <w:rPr>
          <w:rFonts w:ascii="方正小标宋_GBK" w:hAnsi="方正小标宋_GBK" w:eastAsia="方正小标宋_GBK" w:cs="方正小标宋_GBK"/>
          <w:sz w:val="20"/>
          <w:szCs w:val="20"/>
          <w:lang w:eastAsia="zh-CN"/>
        </w:rPr>
      </w:pPr>
    </w:p>
    <w:p>
      <w:pPr>
        <w:pStyle w:val="3"/>
        <w:rPr>
          <w:rFonts w:ascii="方正小标宋_GBK" w:hAnsi="方正小标宋_GBK" w:eastAsia="方正小标宋_GBK" w:cs="方正小标宋_GBK"/>
          <w:sz w:val="20"/>
          <w:szCs w:val="20"/>
          <w:lang w:eastAsia="zh-CN"/>
        </w:rPr>
      </w:pPr>
    </w:p>
    <w:p>
      <w:pPr>
        <w:rPr>
          <w:rFonts w:ascii="方正小标宋_GBK" w:hAnsi="方正小标宋_GBK" w:eastAsia="方正小标宋_GBK" w:cs="方正小标宋_GBK"/>
          <w:sz w:val="20"/>
          <w:szCs w:val="20"/>
          <w:lang w:eastAsia="zh-CN"/>
        </w:rPr>
      </w:pPr>
    </w:p>
    <w:p>
      <w:pPr>
        <w:pStyle w:val="2"/>
        <w:rPr>
          <w:rFonts w:ascii="方正小标宋_GBK" w:hAnsi="方正小标宋_GBK" w:eastAsia="方正小标宋_GBK" w:cs="方正小标宋_GBK"/>
          <w:sz w:val="20"/>
          <w:szCs w:val="20"/>
          <w:lang w:eastAsia="zh-CN"/>
        </w:rPr>
      </w:pPr>
    </w:p>
    <w:p>
      <w:pPr>
        <w:pStyle w:val="3"/>
        <w:rPr>
          <w:rFonts w:ascii="方正小标宋_GBK" w:hAnsi="方正小标宋_GBK" w:eastAsia="方正小标宋_GBK" w:cs="方正小标宋_GBK"/>
          <w:sz w:val="20"/>
          <w:szCs w:val="20"/>
          <w:lang w:eastAsia="zh-CN"/>
        </w:rPr>
      </w:pPr>
    </w:p>
    <w:p>
      <w:pPr>
        <w:rPr>
          <w:rFonts w:ascii="方正小标宋_GBK" w:hAnsi="方正小标宋_GBK" w:eastAsia="方正小标宋_GBK" w:cs="方正小标宋_GBK"/>
          <w:sz w:val="20"/>
          <w:szCs w:val="20"/>
          <w:lang w:eastAsia="zh-CN"/>
        </w:rPr>
      </w:pPr>
    </w:p>
    <w:p>
      <w:pPr>
        <w:pStyle w:val="2"/>
        <w:rPr>
          <w:rFonts w:ascii="方正小标宋_GBK" w:hAnsi="方正小标宋_GBK" w:eastAsia="方正小标宋_GBK" w:cs="方正小标宋_GBK"/>
          <w:sz w:val="20"/>
          <w:szCs w:val="20"/>
          <w:lang w:eastAsia="zh-CN"/>
        </w:rPr>
      </w:pPr>
    </w:p>
    <w:p>
      <w:pPr>
        <w:rPr>
          <w:rFonts w:hint="eastAsia" w:ascii="仿宋_GB2312" w:eastAsia="仿宋_GB2312"/>
          <w:sz w:val="32"/>
          <w:szCs w:val="32"/>
          <w:lang w:eastAsia="zh-CN"/>
        </w:rPr>
      </w:pPr>
    </w:p>
    <w:p>
      <w:pPr>
        <w:ind w:left="1280" w:hanging="1280" w:hangingChars="400"/>
        <w:rPr>
          <w:rFonts w:eastAsia="仿宋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lang w:eastAsia="zh-CN"/>
        </w:rPr>
        <w:t>附件</w:t>
      </w:r>
      <w:r>
        <w:rPr>
          <w:rFonts w:hint="eastAsia" w:eastAsia="仿宋"/>
          <w:sz w:val="32"/>
          <w:szCs w:val="32"/>
          <w:lang w:eastAsia="zh-CN"/>
        </w:rPr>
        <w:t xml:space="preserve">1-1 </w:t>
      </w:r>
      <w:r>
        <w:rPr>
          <w:rFonts w:hint="eastAsia" w:ascii="方正小标宋_GBK" w:hAnsi="方正小标宋_GBK" w:eastAsia="方正小标宋_GBK" w:cs="方正小标宋_GBK"/>
          <w:sz w:val="36"/>
          <w:szCs w:val="36"/>
          <w:lang w:eastAsia="zh-CN"/>
        </w:rPr>
        <w:t xml:space="preserve">                                                                                                                               </w:t>
      </w:r>
      <w:r>
        <w:rPr>
          <w:rFonts w:hint="eastAsia" w:ascii="方正小标宋_GBK" w:hAnsi="方正小标宋_GBK" w:eastAsia="方正小标宋_GBK" w:cs="方正小标宋_GBK"/>
          <w:sz w:val="36"/>
          <w:szCs w:val="36"/>
        </w:rPr>
        <w:t>部门整体支出绩效评价基础数据表</w:t>
      </w:r>
    </w:p>
    <w:p>
      <w:pPr>
        <w:widowControl/>
        <w:tabs>
          <w:tab w:val="left" w:pos="3611"/>
          <w:tab w:val="left" w:pos="4791"/>
          <w:tab w:val="left" w:pos="5951"/>
          <w:tab w:val="left" w:pos="7071"/>
          <w:tab w:val="left" w:pos="8191"/>
          <w:tab w:val="left" w:pos="9311"/>
        </w:tabs>
        <w:spacing w:line="300" w:lineRule="exact"/>
        <w:rPr>
          <w:rFonts w:eastAsia="仿宋_GB2312"/>
          <w:sz w:val="20"/>
          <w:szCs w:val="20"/>
        </w:rPr>
      </w:pPr>
      <w:r>
        <w:rPr>
          <w:rFonts w:hint="eastAsia"/>
          <w:sz w:val="20"/>
          <w:szCs w:val="20"/>
        </w:rPr>
        <w:t>填报单位：</w:t>
      </w:r>
      <w:r>
        <w:rPr>
          <w:rFonts w:hint="eastAsia"/>
          <w:sz w:val="20"/>
          <w:szCs w:val="20"/>
          <w:lang w:eastAsia="zh-CN"/>
        </w:rPr>
        <w:t>衡阳县医疗保障局</w:t>
      </w:r>
      <w:r>
        <w:rPr>
          <w:rFonts w:hint="eastAsia"/>
          <w:sz w:val="20"/>
          <w:szCs w:val="20"/>
        </w:rPr>
        <w:tab/>
      </w:r>
      <w:r>
        <w:rPr>
          <w:rFonts w:hint="eastAsia" w:eastAsia="宋体"/>
          <w:sz w:val="20"/>
          <w:szCs w:val="20"/>
          <w:lang w:val="en-US" w:eastAsia="zh-CN"/>
        </w:rPr>
        <w:t xml:space="preserve">  </w:t>
      </w:r>
      <w:r>
        <w:rPr>
          <w:rFonts w:eastAsia="PMingLiU"/>
          <w:sz w:val="20"/>
          <w:szCs w:val="20"/>
        </w:rPr>
        <w:tab/>
      </w:r>
      <w:r>
        <w:rPr>
          <w:rFonts w:hint="eastAsia" w:eastAsia="PMingLiU"/>
          <w:sz w:val="20"/>
          <w:szCs w:val="20"/>
        </w:rPr>
        <w:t>填报时间：</w:t>
      </w:r>
      <w:r>
        <w:rPr>
          <w:rFonts w:eastAsia="PMingLiU"/>
          <w:sz w:val="20"/>
          <w:szCs w:val="20"/>
        </w:rPr>
        <w:tab/>
      </w:r>
      <w:r>
        <w:rPr>
          <w:rFonts w:hint="eastAsia" w:eastAsia="宋体"/>
          <w:sz w:val="20"/>
          <w:szCs w:val="20"/>
          <w:lang w:val="en-US" w:eastAsia="zh-CN"/>
        </w:rPr>
        <w:t>2022.2.23</w:t>
      </w:r>
    </w:p>
    <w:tbl>
      <w:tblPr>
        <w:tblStyle w:val="8"/>
        <w:tblW w:w="9111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354"/>
        <w:gridCol w:w="1709"/>
        <w:gridCol w:w="2339"/>
        <w:gridCol w:w="1709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35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eastAsia="仿宋_GB2312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财政供养人员情况</w:t>
            </w:r>
          </w:p>
        </w:tc>
        <w:tc>
          <w:tcPr>
            <w:tcW w:w="1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eastAsia="仿宋_GB2312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编制数</w:t>
            </w:r>
          </w:p>
        </w:tc>
        <w:tc>
          <w:tcPr>
            <w:tcW w:w="23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eastAsia="仿宋_GB2312"/>
                <w:sz w:val="20"/>
                <w:szCs w:val="20"/>
              </w:rPr>
            </w:pPr>
            <w:r>
              <w:rPr>
                <w:sz w:val="20"/>
                <w:szCs w:val="20"/>
              </w:rPr>
              <w:t>20</w:t>
            </w:r>
            <w:r>
              <w:rPr>
                <w:rFonts w:hint="eastAsia"/>
                <w:sz w:val="20"/>
                <w:szCs w:val="20"/>
              </w:rPr>
              <w:t>2</w:t>
            </w:r>
            <w:r>
              <w:rPr>
                <w:rFonts w:hint="eastAsia" w:eastAsia="宋体"/>
                <w:sz w:val="20"/>
                <w:szCs w:val="20"/>
                <w:lang w:val="en-US" w:eastAsia="zh-CN"/>
              </w:rPr>
              <w:t>2</w:t>
            </w:r>
            <w:r>
              <w:rPr>
                <w:rFonts w:hint="eastAsia"/>
                <w:sz w:val="20"/>
                <w:szCs w:val="20"/>
              </w:rPr>
              <w:t>年实际在职人数</w:t>
            </w:r>
          </w:p>
        </w:tc>
        <w:tc>
          <w:tcPr>
            <w:tcW w:w="1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eastAsia="仿宋_GB2312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控制率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35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eastAsia="仿宋_GB2312"/>
                <w:sz w:val="20"/>
                <w:szCs w:val="20"/>
              </w:rPr>
            </w:pPr>
          </w:p>
        </w:tc>
        <w:tc>
          <w:tcPr>
            <w:tcW w:w="1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eastAsia="宋体"/>
                <w:sz w:val="20"/>
                <w:szCs w:val="20"/>
                <w:lang w:eastAsia="zh-CN"/>
              </w:rPr>
            </w:pPr>
            <w:r>
              <w:rPr>
                <w:rFonts w:hint="eastAsia" w:eastAsia="宋体"/>
                <w:sz w:val="20"/>
                <w:szCs w:val="20"/>
                <w:lang w:val="en-US" w:eastAsia="zh-CN"/>
              </w:rPr>
              <w:t>12</w:t>
            </w:r>
          </w:p>
        </w:tc>
        <w:tc>
          <w:tcPr>
            <w:tcW w:w="23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eastAsia="宋体"/>
                <w:sz w:val="20"/>
                <w:szCs w:val="20"/>
                <w:lang w:eastAsia="zh-CN"/>
              </w:rPr>
            </w:pPr>
            <w:r>
              <w:rPr>
                <w:rFonts w:hint="eastAsia"/>
                <w:sz w:val="20"/>
                <w:szCs w:val="20"/>
              </w:rPr>
              <w:t>　</w:t>
            </w:r>
            <w:r>
              <w:rPr>
                <w:rFonts w:hint="eastAsia" w:eastAsia="宋体"/>
                <w:sz w:val="20"/>
                <w:szCs w:val="20"/>
                <w:lang w:val="en-US" w:eastAsia="zh-CN"/>
              </w:rPr>
              <w:t>11</w:t>
            </w:r>
          </w:p>
        </w:tc>
        <w:tc>
          <w:tcPr>
            <w:tcW w:w="1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eastAsia="宋体"/>
                <w:sz w:val="20"/>
                <w:szCs w:val="20"/>
                <w:lang w:eastAsia="zh-CN"/>
              </w:rPr>
            </w:pPr>
            <w:r>
              <w:rPr>
                <w:rFonts w:hint="eastAsia"/>
                <w:sz w:val="20"/>
                <w:szCs w:val="20"/>
              </w:rPr>
              <w:t>　</w:t>
            </w:r>
            <w:r>
              <w:rPr>
                <w:rFonts w:hint="eastAsia" w:eastAsia="宋体"/>
                <w:sz w:val="20"/>
                <w:szCs w:val="20"/>
                <w:lang w:eastAsia="zh-CN"/>
              </w:rPr>
              <w:t>100%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3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eastAsia="仿宋_GB2312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经费控制情况</w:t>
            </w:r>
          </w:p>
        </w:tc>
        <w:tc>
          <w:tcPr>
            <w:tcW w:w="1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eastAsia="仿宋_GB2312"/>
                <w:sz w:val="20"/>
                <w:szCs w:val="20"/>
              </w:rPr>
            </w:pPr>
            <w:r>
              <w:rPr>
                <w:sz w:val="20"/>
                <w:szCs w:val="20"/>
              </w:rPr>
              <w:t>20</w:t>
            </w:r>
            <w:r>
              <w:rPr>
                <w:rFonts w:hint="eastAsia"/>
                <w:sz w:val="20"/>
                <w:szCs w:val="20"/>
                <w:lang w:eastAsia="zh-CN"/>
              </w:rPr>
              <w:t>2</w:t>
            </w:r>
            <w:r>
              <w:rPr>
                <w:rFonts w:hint="eastAsia"/>
                <w:sz w:val="20"/>
                <w:szCs w:val="20"/>
                <w:lang w:val="en-US" w:eastAsia="zh-CN"/>
              </w:rPr>
              <w:t>1</w:t>
            </w:r>
            <w:r>
              <w:rPr>
                <w:rFonts w:hint="eastAsia"/>
                <w:sz w:val="20"/>
                <w:szCs w:val="20"/>
              </w:rPr>
              <w:t>年决算数</w:t>
            </w:r>
          </w:p>
        </w:tc>
        <w:tc>
          <w:tcPr>
            <w:tcW w:w="233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eastAsia="仿宋_GB2312"/>
                <w:sz w:val="20"/>
                <w:szCs w:val="20"/>
              </w:rPr>
            </w:pPr>
            <w:r>
              <w:rPr>
                <w:sz w:val="20"/>
                <w:szCs w:val="20"/>
              </w:rPr>
              <w:t>20</w:t>
            </w:r>
            <w:r>
              <w:rPr>
                <w:rFonts w:hint="eastAsia"/>
                <w:sz w:val="20"/>
                <w:szCs w:val="20"/>
              </w:rPr>
              <w:t>2</w:t>
            </w:r>
            <w:r>
              <w:rPr>
                <w:rFonts w:hint="eastAsia" w:eastAsia="宋体"/>
                <w:sz w:val="20"/>
                <w:szCs w:val="20"/>
                <w:lang w:val="en-US" w:eastAsia="zh-CN"/>
              </w:rPr>
              <w:t>1</w:t>
            </w:r>
            <w:r>
              <w:rPr>
                <w:rFonts w:hint="eastAsia"/>
                <w:sz w:val="20"/>
                <w:szCs w:val="20"/>
              </w:rPr>
              <w:t>年预算数</w:t>
            </w:r>
          </w:p>
        </w:tc>
        <w:tc>
          <w:tcPr>
            <w:tcW w:w="1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eastAsia="仿宋_GB2312"/>
                <w:sz w:val="20"/>
                <w:szCs w:val="20"/>
              </w:rPr>
            </w:pPr>
            <w:r>
              <w:rPr>
                <w:sz w:val="20"/>
                <w:szCs w:val="20"/>
              </w:rPr>
              <w:t>20</w:t>
            </w:r>
            <w:r>
              <w:rPr>
                <w:rFonts w:hint="eastAsia" w:eastAsia="宋体"/>
                <w:sz w:val="20"/>
                <w:szCs w:val="20"/>
                <w:lang w:val="en-US" w:eastAsia="zh-CN"/>
              </w:rPr>
              <w:t>20</w:t>
            </w:r>
            <w:r>
              <w:rPr>
                <w:rFonts w:hint="eastAsia"/>
                <w:sz w:val="20"/>
                <w:szCs w:val="20"/>
              </w:rPr>
              <w:t>年决算数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3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eastAsia="仿宋_GB2312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一、部门基本支出</w:t>
            </w:r>
          </w:p>
        </w:tc>
        <w:tc>
          <w:tcPr>
            <w:tcW w:w="1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eastAsia="仿宋_GB2312"/>
                <w:sz w:val="20"/>
                <w:szCs w:val="20"/>
                <w:lang w:eastAsia="zh-CN"/>
              </w:rPr>
            </w:pPr>
            <w:r>
              <w:rPr>
                <w:rFonts w:hint="eastAsia" w:eastAsia="仿宋_GB2312"/>
                <w:sz w:val="20"/>
                <w:szCs w:val="20"/>
                <w:lang w:val="en-US" w:eastAsia="zh-CN"/>
              </w:rPr>
              <w:t>686.58</w:t>
            </w:r>
          </w:p>
        </w:tc>
        <w:tc>
          <w:tcPr>
            <w:tcW w:w="233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eastAsia="仿宋_GB2312"/>
                <w:sz w:val="20"/>
                <w:szCs w:val="20"/>
                <w:lang w:eastAsia="zh-CN"/>
              </w:rPr>
            </w:pPr>
            <w:r>
              <w:rPr>
                <w:rFonts w:hint="eastAsia" w:eastAsia="仿宋_GB2312"/>
                <w:sz w:val="20"/>
                <w:szCs w:val="20"/>
                <w:lang w:val="en-US" w:eastAsia="zh-CN"/>
              </w:rPr>
              <w:t>686.58</w:t>
            </w:r>
          </w:p>
        </w:tc>
        <w:tc>
          <w:tcPr>
            <w:tcW w:w="1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eastAsia="仿宋_GB2312"/>
                <w:sz w:val="20"/>
                <w:szCs w:val="20"/>
                <w:lang w:eastAsia="zh-CN"/>
              </w:rPr>
            </w:pPr>
            <w:r>
              <w:rPr>
                <w:rFonts w:hint="eastAsia" w:eastAsia="仿宋_GB2312"/>
                <w:sz w:val="20"/>
                <w:szCs w:val="20"/>
                <w:lang w:val="en-US" w:eastAsia="zh-CN"/>
              </w:rPr>
              <w:t>295.73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3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eastAsia="仿宋_GB2312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其中：</w:t>
            </w:r>
            <w:r>
              <w:rPr>
                <w:sz w:val="20"/>
                <w:szCs w:val="20"/>
              </w:rPr>
              <w:t xml:space="preserve"> 1</w:t>
            </w:r>
            <w:r>
              <w:rPr>
                <w:rFonts w:hint="eastAsia"/>
                <w:sz w:val="20"/>
                <w:szCs w:val="20"/>
              </w:rPr>
              <w:t>、压缩一般性支出</w:t>
            </w:r>
          </w:p>
        </w:tc>
        <w:tc>
          <w:tcPr>
            <w:tcW w:w="1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eastAsia="仿宋_GB2312"/>
                <w:sz w:val="20"/>
                <w:szCs w:val="20"/>
                <w:lang w:eastAsia="zh-CN"/>
              </w:rPr>
            </w:pPr>
          </w:p>
        </w:tc>
        <w:tc>
          <w:tcPr>
            <w:tcW w:w="233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eastAsia="仿宋_GB2312"/>
                <w:sz w:val="20"/>
                <w:szCs w:val="20"/>
                <w:lang w:eastAsia="zh-CN"/>
              </w:rPr>
            </w:pPr>
          </w:p>
        </w:tc>
        <w:tc>
          <w:tcPr>
            <w:tcW w:w="1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eastAsia="仿宋_GB2312"/>
                <w:sz w:val="20"/>
                <w:szCs w:val="20"/>
                <w:lang w:eastAsia="zh-CN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3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eastAsia="仿宋_GB2312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    </w:t>
            </w:r>
            <w:r>
              <w:rPr>
                <w:rFonts w:hint="eastAsia" w:eastAsia="宋体"/>
                <w:sz w:val="20"/>
                <w:szCs w:val="20"/>
                <w:lang w:eastAsia="zh-CN"/>
              </w:rPr>
              <w:t xml:space="preserve">   </w:t>
            </w:r>
            <w:r>
              <w:rPr>
                <w:rFonts w:hint="eastAsia"/>
                <w:sz w:val="20"/>
                <w:szCs w:val="20"/>
              </w:rPr>
              <w:t>2、三公经费</w:t>
            </w:r>
          </w:p>
        </w:tc>
        <w:tc>
          <w:tcPr>
            <w:tcW w:w="1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eastAsia="宋体"/>
                <w:sz w:val="20"/>
                <w:szCs w:val="20"/>
                <w:lang w:eastAsia="zh-CN"/>
              </w:rPr>
            </w:pPr>
            <w:r>
              <w:rPr>
                <w:rFonts w:hint="eastAsia" w:eastAsia="宋体"/>
                <w:sz w:val="20"/>
                <w:szCs w:val="20"/>
                <w:lang w:val="en-US" w:eastAsia="zh-CN"/>
              </w:rPr>
              <w:t>2.49</w:t>
            </w:r>
          </w:p>
        </w:tc>
        <w:tc>
          <w:tcPr>
            <w:tcW w:w="233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eastAsia="仿宋_GB2312"/>
                <w:sz w:val="20"/>
                <w:szCs w:val="20"/>
              </w:rPr>
            </w:pPr>
            <w:r>
              <w:rPr>
                <w:rFonts w:hint="eastAsia" w:eastAsia="宋体"/>
                <w:sz w:val="20"/>
                <w:szCs w:val="20"/>
                <w:lang w:val="en-US" w:eastAsia="zh-CN"/>
              </w:rPr>
              <w:t>3.24</w:t>
            </w:r>
            <w:r>
              <w:rPr>
                <w:rFonts w:hint="eastAsia"/>
                <w:sz w:val="20"/>
                <w:szCs w:val="20"/>
              </w:rPr>
              <w:t>　</w:t>
            </w:r>
          </w:p>
        </w:tc>
        <w:tc>
          <w:tcPr>
            <w:tcW w:w="1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eastAsia="仿宋_GB2312"/>
                <w:sz w:val="20"/>
                <w:szCs w:val="20"/>
              </w:rPr>
            </w:pPr>
            <w:r>
              <w:rPr>
                <w:rFonts w:hint="eastAsia" w:eastAsia="宋体"/>
                <w:sz w:val="20"/>
                <w:szCs w:val="20"/>
                <w:lang w:val="en-US" w:eastAsia="zh-CN"/>
              </w:rPr>
              <w:t>100%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3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eastAsia="仿宋_GB2312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  </w:t>
            </w:r>
            <w:r>
              <w:rPr>
                <w:rFonts w:hint="eastAsia" w:eastAsia="宋体"/>
                <w:sz w:val="20"/>
                <w:szCs w:val="20"/>
                <w:lang w:eastAsia="zh-CN"/>
              </w:rPr>
              <w:t xml:space="preserve"> </w:t>
            </w:r>
            <w:r>
              <w:rPr>
                <w:rFonts w:hint="eastAsia"/>
                <w:sz w:val="20"/>
                <w:szCs w:val="20"/>
              </w:rPr>
              <w:t xml:space="preserve"> 公务用车购置和维护经费</w:t>
            </w:r>
          </w:p>
        </w:tc>
        <w:tc>
          <w:tcPr>
            <w:tcW w:w="1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eastAsia="仿宋_GB2312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　</w:t>
            </w:r>
          </w:p>
        </w:tc>
        <w:tc>
          <w:tcPr>
            <w:tcW w:w="233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eastAsia="仿宋_GB2312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　</w:t>
            </w:r>
          </w:p>
        </w:tc>
        <w:tc>
          <w:tcPr>
            <w:tcW w:w="1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eastAsia="宋体"/>
                <w:sz w:val="20"/>
                <w:szCs w:val="20"/>
                <w:lang w:eastAsia="zh-CN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3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eastAsia="仿宋_GB2312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       其中：公车购置</w:t>
            </w:r>
          </w:p>
        </w:tc>
        <w:tc>
          <w:tcPr>
            <w:tcW w:w="1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eastAsia="仿宋_GB2312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　</w:t>
            </w:r>
          </w:p>
        </w:tc>
        <w:tc>
          <w:tcPr>
            <w:tcW w:w="233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eastAsia="仿宋_GB2312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　</w:t>
            </w:r>
          </w:p>
        </w:tc>
        <w:tc>
          <w:tcPr>
            <w:tcW w:w="1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eastAsia="仿宋_GB2312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3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eastAsia="仿宋_GB2312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             公车运行维护</w:t>
            </w:r>
          </w:p>
        </w:tc>
        <w:tc>
          <w:tcPr>
            <w:tcW w:w="1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eastAsia="仿宋_GB2312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　</w:t>
            </w:r>
          </w:p>
        </w:tc>
        <w:tc>
          <w:tcPr>
            <w:tcW w:w="233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eastAsia="仿宋_GB2312"/>
                <w:sz w:val="20"/>
                <w:szCs w:val="20"/>
              </w:rPr>
            </w:pPr>
          </w:p>
        </w:tc>
        <w:tc>
          <w:tcPr>
            <w:tcW w:w="1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eastAsia="仿宋_GB2312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3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eastAsia="仿宋_GB2312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   </w:t>
            </w:r>
            <w:r>
              <w:rPr>
                <w:rFonts w:hint="eastAsia" w:eastAsia="宋体"/>
                <w:sz w:val="20"/>
                <w:szCs w:val="20"/>
                <w:lang w:eastAsia="zh-CN"/>
              </w:rPr>
              <w:t xml:space="preserve"> </w:t>
            </w:r>
            <w:r>
              <w:rPr>
                <w:rFonts w:hint="eastAsia"/>
                <w:sz w:val="20"/>
                <w:szCs w:val="20"/>
              </w:rPr>
              <w:t>公务接待</w:t>
            </w:r>
          </w:p>
        </w:tc>
        <w:tc>
          <w:tcPr>
            <w:tcW w:w="1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widowControl/>
              <w:jc w:val="center"/>
              <w:rPr>
                <w:rFonts w:eastAsia="仿宋_GB2312"/>
                <w:sz w:val="20"/>
                <w:szCs w:val="20"/>
              </w:rPr>
            </w:pPr>
            <w:r>
              <w:rPr>
                <w:rFonts w:hint="eastAsia" w:eastAsia="宋体"/>
                <w:sz w:val="20"/>
                <w:szCs w:val="20"/>
                <w:lang w:val="en-US" w:eastAsia="zh-CN"/>
              </w:rPr>
              <w:t>2.49</w:t>
            </w:r>
          </w:p>
        </w:tc>
        <w:tc>
          <w:tcPr>
            <w:tcW w:w="233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widowControl/>
              <w:jc w:val="center"/>
              <w:rPr>
                <w:rFonts w:eastAsia="仿宋_GB2312"/>
                <w:sz w:val="20"/>
                <w:szCs w:val="20"/>
              </w:rPr>
            </w:pPr>
            <w:r>
              <w:rPr>
                <w:rFonts w:hint="eastAsia" w:eastAsia="宋体"/>
                <w:sz w:val="20"/>
                <w:szCs w:val="20"/>
                <w:lang w:val="en-US" w:eastAsia="zh-CN"/>
              </w:rPr>
              <w:t>3.24</w:t>
            </w:r>
            <w:r>
              <w:rPr>
                <w:rFonts w:hint="eastAsia"/>
                <w:sz w:val="20"/>
                <w:szCs w:val="20"/>
              </w:rPr>
              <w:t>　</w:t>
            </w:r>
          </w:p>
        </w:tc>
        <w:tc>
          <w:tcPr>
            <w:tcW w:w="1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widowControl/>
              <w:jc w:val="center"/>
              <w:rPr>
                <w:rFonts w:eastAsia="仿宋_GB2312"/>
                <w:sz w:val="20"/>
                <w:szCs w:val="20"/>
              </w:rPr>
            </w:pPr>
            <w:r>
              <w:rPr>
                <w:rFonts w:hint="eastAsia" w:eastAsia="宋体"/>
                <w:sz w:val="20"/>
                <w:szCs w:val="20"/>
                <w:lang w:val="en-US" w:eastAsia="zh-CN"/>
              </w:rPr>
              <w:t>100%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3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eastAsia="仿宋_GB2312"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</w:t>
            </w:r>
            <w:r>
              <w:rPr>
                <w:rFonts w:hint="eastAsia" w:eastAsia="宋体"/>
                <w:sz w:val="20"/>
                <w:szCs w:val="20"/>
                <w:lang w:eastAsia="zh-CN"/>
              </w:rPr>
              <w:t xml:space="preserve"> </w:t>
            </w:r>
            <w:r>
              <w:rPr>
                <w:rFonts w:hint="eastAsia"/>
                <w:sz w:val="20"/>
                <w:szCs w:val="20"/>
              </w:rPr>
              <w:t>出国经费</w:t>
            </w:r>
          </w:p>
        </w:tc>
        <w:tc>
          <w:tcPr>
            <w:tcW w:w="1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eastAsia="仿宋_GB2312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　</w:t>
            </w:r>
          </w:p>
        </w:tc>
        <w:tc>
          <w:tcPr>
            <w:tcW w:w="233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eastAsia="仿宋_GB2312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　</w:t>
            </w:r>
          </w:p>
        </w:tc>
        <w:tc>
          <w:tcPr>
            <w:tcW w:w="1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eastAsia="仿宋_GB2312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3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eastAsia="宋体"/>
                <w:sz w:val="20"/>
                <w:szCs w:val="20"/>
                <w:lang w:eastAsia="zh-CN"/>
              </w:rPr>
            </w:pPr>
            <w:r>
              <w:rPr>
                <w:rFonts w:hint="eastAsia" w:eastAsia="宋体"/>
                <w:sz w:val="20"/>
                <w:szCs w:val="20"/>
                <w:lang w:eastAsia="zh-CN"/>
              </w:rPr>
              <w:t>二、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rFonts w:hint="eastAsia" w:eastAsia="宋体"/>
                <w:sz w:val="20"/>
                <w:szCs w:val="20"/>
                <w:lang w:eastAsia="zh-CN"/>
              </w:rPr>
              <w:t>其他收入</w:t>
            </w:r>
            <w:r>
              <w:rPr>
                <w:rFonts w:hint="eastAsia"/>
                <w:sz w:val="20"/>
                <w:szCs w:val="20"/>
              </w:rPr>
              <w:t>支出</w:t>
            </w:r>
          </w:p>
        </w:tc>
        <w:tc>
          <w:tcPr>
            <w:tcW w:w="1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eastAsia="宋体"/>
                <w:sz w:val="20"/>
                <w:szCs w:val="20"/>
                <w:lang w:eastAsia="zh-CN"/>
              </w:rPr>
            </w:pPr>
          </w:p>
        </w:tc>
        <w:tc>
          <w:tcPr>
            <w:tcW w:w="233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sz w:val="20"/>
                <w:szCs w:val="20"/>
              </w:rPr>
            </w:pPr>
          </w:p>
        </w:tc>
        <w:tc>
          <w:tcPr>
            <w:tcW w:w="1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eastAsia="宋体"/>
                <w:sz w:val="20"/>
                <w:szCs w:val="20"/>
                <w:lang w:eastAsia="zh-CN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3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sz w:val="20"/>
                <w:szCs w:val="20"/>
              </w:rPr>
            </w:pPr>
            <w:r>
              <w:rPr>
                <w:rFonts w:hint="eastAsia" w:eastAsia="宋体"/>
                <w:sz w:val="20"/>
                <w:szCs w:val="20"/>
                <w:lang w:eastAsia="zh-CN"/>
              </w:rPr>
              <w:t>三</w:t>
            </w:r>
            <w:r>
              <w:rPr>
                <w:rFonts w:hint="eastAsia"/>
                <w:sz w:val="20"/>
                <w:szCs w:val="20"/>
              </w:rPr>
              <w:t>、</w:t>
            </w:r>
            <w:r>
              <w:rPr>
                <w:rFonts w:hint="eastAsia" w:eastAsia="宋体"/>
                <w:sz w:val="20"/>
                <w:szCs w:val="20"/>
                <w:lang w:eastAsia="zh-CN"/>
              </w:rPr>
              <w:t>经营</w:t>
            </w:r>
            <w:r>
              <w:rPr>
                <w:rFonts w:hint="eastAsia"/>
                <w:sz w:val="20"/>
                <w:szCs w:val="20"/>
              </w:rPr>
              <w:t>支出</w:t>
            </w:r>
          </w:p>
        </w:tc>
        <w:tc>
          <w:tcPr>
            <w:tcW w:w="1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eastAsia="宋体"/>
                <w:sz w:val="20"/>
                <w:szCs w:val="20"/>
                <w:lang w:eastAsia="zh-CN"/>
              </w:rPr>
            </w:pPr>
          </w:p>
        </w:tc>
        <w:tc>
          <w:tcPr>
            <w:tcW w:w="233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sz w:val="20"/>
                <w:szCs w:val="20"/>
              </w:rPr>
            </w:pPr>
          </w:p>
        </w:tc>
        <w:tc>
          <w:tcPr>
            <w:tcW w:w="1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eastAsia="宋体"/>
                <w:sz w:val="20"/>
                <w:szCs w:val="20"/>
                <w:lang w:eastAsia="zh-CN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3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eastAsia="仿宋_GB2312"/>
                <w:sz w:val="20"/>
                <w:szCs w:val="20"/>
              </w:rPr>
            </w:pPr>
            <w:r>
              <w:rPr>
                <w:rFonts w:hint="eastAsia" w:eastAsia="宋体"/>
                <w:sz w:val="20"/>
                <w:szCs w:val="20"/>
                <w:lang w:eastAsia="zh-CN"/>
              </w:rPr>
              <w:t>四</w:t>
            </w:r>
            <w:r>
              <w:rPr>
                <w:rFonts w:hint="eastAsia"/>
                <w:sz w:val="20"/>
                <w:szCs w:val="20"/>
              </w:rPr>
              <w:t>、部门项目支出</w:t>
            </w:r>
          </w:p>
        </w:tc>
        <w:tc>
          <w:tcPr>
            <w:tcW w:w="1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eastAsia="仿宋_GB2312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　</w:t>
            </w:r>
          </w:p>
        </w:tc>
        <w:tc>
          <w:tcPr>
            <w:tcW w:w="233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eastAsia="仿宋_GB2312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　</w:t>
            </w:r>
          </w:p>
        </w:tc>
        <w:tc>
          <w:tcPr>
            <w:tcW w:w="1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eastAsia="仿宋_GB2312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3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eastAsia="仿宋_GB2312"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1</w:t>
            </w:r>
            <w:r>
              <w:rPr>
                <w:rFonts w:hint="eastAsia"/>
                <w:sz w:val="20"/>
                <w:szCs w:val="20"/>
              </w:rPr>
              <w:t>、业务工作专项</w:t>
            </w:r>
            <w:r>
              <w:rPr>
                <w:sz w:val="20"/>
                <w:szCs w:val="20"/>
              </w:rPr>
              <w:t>(</w:t>
            </w:r>
            <w:r>
              <w:rPr>
                <w:rFonts w:hint="eastAsia"/>
                <w:sz w:val="20"/>
                <w:szCs w:val="20"/>
              </w:rPr>
              <w:t>一个项目一行</w:t>
            </w:r>
            <w:r>
              <w:rPr>
                <w:sz w:val="20"/>
                <w:szCs w:val="20"/>
              </w:rPr>
              <w:t>)</w:t>
            </w:r>
          </w:p>
        </w:tc>
        <w:tc>
          <w:tcPr>
            <w:tcW w:w="1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eastAsia="仿宋_GB2312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　</w:t>
            </w:r>
          </w:p>
        </w:tc>
        <w:tc>
          <w:tcPr>
            <w:tcW w:w="233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eastAsia="仿宋_GB2312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　</w:t>
            </w:r>
          </w:p>
        </w:tc>
        <w:tc>
          <w:tcPr>
            <w:tcW w:w="1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eastAsia="仿宋_GB2312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3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1000" w:firstLineChars="500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……</w:t>
            </w:r>
          </w:p>
        </w:tc>
        <w:tc>
          <w:tcPr>
            <w:tcW w:w="1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sz w:val="20"/>
                <w:szCs w:val="20"/>
              </w:rPr>
            </w:pPr>
          </w:p>
        </w:tc>
        <w:tc>
          <w:tcPr>
            <w:tcW w:w="233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sz w:val="20"/>
                <w:szCs w:val="20"/>
              </w:rPr>
            </w:pPr>
          </w:p>
        </w:tc>
        <w:tc>
          <w:tcPr>
            <w:tcW w:w="1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3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eastAsia="仿宋_GB2312"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2</w:t>
            </w:r>
            <w:r>
              <w:rPr>
                <w:rFonts w:hint="eastAsia"/>
                <w:sz w:val="20"/>
                <w:szCs w:val="20"/>
              </w:rPr>
              <w:t>、运行维护专项</w:t>
            </w:r>
            <w:r>
              <w:rPr>
                <w:sz w:val="20"/>
                <w:szCs w:val="20"/>
              </w:rPr>
              <w:t>(</w:t>
            </w:r>
            <w:r>
              <w:rPr>
                <w:rFonts w:hint="eastAsia"/>
                <w:sz w:val="20"/>
                <w:szCs w:val="20"/>
              </w:rPr>
              <w:t>一个项目一行</w:t>
            </w:r>
            <w:r>
              <w:rPr>
                <w:sz w:val="20"/>
                <w:szCs w:val="20"/>
              </w:rPr>
              <w:t>)</w:t>
            </w:r>
          </w:p>
        </w:tc>
        <w:tc>
          <w:tcPr>
            <w:tcW w:w="1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eastAsia="仿宋_GB2312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　</w:t>
            </w:r>
          </w:p>
        </w:tc>
        <w:tc>
          <w:tcPr>
            <w:tcW w:w="233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eastAsia="仿宋_GB2312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　</w:t>
            </w:r>
          </w:p>
        </w:tc>
        <w:tc>
          <w:tcPr>
            <w:tcW w:w="1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eastAsia="仿宋_GB2312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3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200" w:firstLineChars="100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rFonts w:hint="eastAsia" w:eastAsia="宋体"/>
                <w:sz w:val="20"/>
                <w:szCs w:val="20"/>
                <w:lang w:eastAsia="zh-CN"/>
              </w:rPr>
              <w:t xml:space="preserve">        </w:t>
            </w:r>
            <w:r>
              <w:rPr>
                <w:sz w:val="20"/>
                <w:szCs w:val="20"/>
              </w:rPr>
              <w:t>……</w:t>
            </w:r>
          </w:p>
        </w:tc>
        <w:tc>
          <w:tcPr>
            <w:tcW w:w="1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sz w:val="20"/>
                <w:szCs w:val="20"/>
              </w:rPr>
            </w:pPr>
          </w:p>
        </w:tc>
        <w:tc>
          <w:tcPr>
            <w:tcW w:w="233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sz w:val="20"/>
                <w:szCs w:val="20"/>
              </w:rPr>
            </w:pPr>
          </w:p>
        </w:tc>
        <w:tc>
          <w:tcPr>
            <w:tcW w:w="1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3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200" w:firstLineChars="100"/>
              <w:rPr>
                <w:rFonts w:eastAsia="仿宋_GB2312"/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  <w:r>
              <w:rPr>
                <w:rFonts w:hint="eastAsia"/>
                <w:sz w:val="20"/>
                <w:szCs w:val="20"/>
              </w:rPr>
              <w:t>、县级专项资金（一个专项一行）</w:t>
            </w:r>
          </w:p>
        </w:tc>
        <w:tc>
          <w:tcPr>
            <w:tcW w:w="1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eastAsia="仿宋_GB2312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　</w:t>
            </w:r>
          </w:p>
        </w:tc>
        <w:tc>
          <w:tcPr>
            <w:tcW w:w="233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eastAsia="仿宋_GB2312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　</w:t>
            </w:r>
          </w:p>
        </w:tc>
        <w:tc>
          <w:tcPr>
            <w:tcW w:w="1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eastAsia="仿宋_GB2312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3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eastAsia="宋体"/>
                <w:sz w:val="20"/>
                <w:szCs w:val="20"/>
                <w:lang w:eastAsia="zh-CN"/>
              </w:rPr>
            </w:pP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rFonts w:hint="eastAsia" w:eastAsia="宋体"/>
                <w:sz w:val="20"/>
                <w:szCs w:val="20"/>
                <w:lang w:eastAsia="zh-CN"/>
              </w:rPr>
              <w:t xml:space="preserve">         </w:t>
            </w:r>
            <w:r>
              <w:rPr>
                <w:sz w:val="20"/>
                <w:szCs w:val="20"/>
              </w:rPr>
              <w:t>……</w:t>
            </w:r>
          </w:p>
        </w:tc>
        <w:tc>
          <w:tcPr>
            <w:tcW w:w="1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eastAsia="宋体"/>
                <w:sz w:val="20"/>
                <w:szCs w:val="20"/>
                <w:lang w:eastAsia="zh-CN"/>
              </w:rPr>
            </w:pPr>
          </w:p>
        </w:tc>
        <w:tc>
          <w:tcPr>
            <w:tcW w:w="233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eastAsia="宋体"/>
                <w:sz w:val="20"/>
                <w:szCs w:val="20"/>
                <w:lang w:eastAsia="zh-CN"/>
              </w:rPr>
            </w:pPr>
          </w:p>
        </w:tc>
        <w:tc>
          <w:tcPr>
            <w:tcW w:w="1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3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eastAsia="宋体"/>
                <w:sz w:val="20"/>
                <w:szCs w:val="20"/>
                <w:lang w:eastAsia="zh-CN"/>
              </w:rPr>
            </w:pPr>
            <w:r>
              <w:rPr>
                <w:rFonts w:hint="eastAsia" w:eastAsia="宋体"/>
                <w:sz w:val="20"/>
                <w:szCs w:val="20"/>
                <w:lang w:eastAsia="zh-CN"/>
              </w:rPr>
              <w:t>五、公用经费</w:t>
            </w:r>
          </w:p>
        </w:tc>
        <w:tc>
          <w:tcPr>
            <w:tcW w:w="1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eastAsia="宋体"/>
                <w:sz w:val="20"/>
                <w:szCs w:val="20"/>
                <w:lang w:eastAsia="zh-CN"/>
              </w:rPr>
            </w:pPr>
            <w:r>
              <w:rPr>
                <w:rFonts w:hint="eastAsia" w:eastAsia="宋体"/>
                <w:sz w:val="20"/>
                <w:szCs w:val="20"/>
                <w:lang w:val="en-US" w:eastAsia="zh-CN"/>
              </w:rPr>
              <w:t>575.3</w:t>
            </w:r>
          </w:p>
        </w:tc>
        <w:tc>
          <w:tcPr>
            <w:tcW w:w="233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eastAsia="宋体"/>
                <w:sz w:val="20"/>
                <w:szCs w:val="20"/>
                <w:lang w:eastAsia="zh-CN"/>
              </w:rPr>
            </w:pPr>
            <w:r>
              <w:rPr>
                <w:rFonts w:hint="eastAsia" w:eastAsia="宋体"/>
                <w:sz w:val="20"/>
                <w:szCs w:val="20"/>
                <w:lang w:val="en-US" w:eastAsia="zh-CN"/>
              </w:rPr>
              <w:t>575.3</w:t>
            </w:r>
          </w:p>
        </w:tc>
        <w:tc>
          <w:tcPr>
            <w:tcW w:w="1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eastAsia="宋体"/>
                <w:sz w:val="20"/>
                <w:szCs w:val="20"/>
                <w:lang w:eastAsia="zh-CN"/>
              </w:rPr>
            </w:pPr>
            <w:r>
              <w:rPr>
                <w:rFonts w:hint="eastAsia" w:eastAsia="宋体"/>
                <w:sz w:val="20"/>
                <w:szCs w:val="20"/>
                <w:lang w:val="en-US" w:eastAsia="zh-CN"/>
              </w:rPr>
              <w:t>100%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3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eastAsia="仿宋_GB2312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政府采购金额</w:t>
            </w:r>
          </w:p>
        </w:tc>
        <w:tc>
          <w:tcPr>
            <w:tcW w:w="1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eastAsia="仿宋_GB2312"/>
                <w:sz w:val="20"/>
                <w:szCs w:val="20"/>
              </w:rPr>
            </w:pPr>
            <w:r>
              <w:rPr>
                <w:rFonts w:hint="eastAsia" w:eastAsia="宋体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/>
                <w:sz w:val="20"/>
                <w:szCs w:val="20"/>
              </w:rPr>
              <w:t>　</w:t>
            </w:r>
          </w:p>
        </w:tc>
        <w:tc>
          <w:tcPr>
            <w:tcW w:w="233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eastAsia="仿宋_GB2312"/>
                <w:sz w:val="20"/>
                <w:szCs w:val="20"/>
              </w:rPr>
            </w:pPr>
            <w:r>
              <w:rPr>
                <w:rFonts w:hint="eastAsia" w:eastAsia="宋体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/>
                <w:sz w:val="20"/>
                <w:szCs w:val="20"/>
              </w:rPr>
              <w:t>　</w:t>
            </w:r>
          </w:p>
        </w:tc>
        <w:tc>
          <w:tcPr>
            <w:tcW w:w="1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eastAsia="仿宋_GB2312"/>
                <w:sz w:val="20"/>
                <w:szCs w:val="20"/>
              </w:rPr>
            </w:pPr>
            <w:r>
              <w:rPr>
                <w:rFonts w:hint="eastAsia" w:eastAsia="宋体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/>
                <w:sz w:val="20"/>
                <w:szCs w:val="2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9" w:hRule="atLeast"/>
          <w:jc w:val="center"/>
        </w:trPr>
        <w:tc>
          <w:tcPr>
            <w:tcW w:w="33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eastAsia="仿宋_GB2312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厉行节约保障措施</w:t>
            </w:r>
          </w:p>
        </w:tc>
        <w:tc>
          <w:tcPr>
            <w:tcW w:w="575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eastAsia="仿宋_GB2312"/>
                <w:sz w:val="20"/>
                <w:szCs w:val="20"/>
              </w:rPr>
            </w:pPr>
            <w:r>
              <w:rPr>
                <w:rFonts w:hint="eastAsia" w:eastAsia="宋体"/>
                <w:sz w:val="20"/>
                <w:szCs w:val="20"/>
                <w:lang w:eastAsia="zh-CN"/>
              </w:rPr>
              <w:t>制定内控制度</w:t>
            </w:r>
            <w:r>
              <w:rPr>
                <w:rFonts w:hint="eastAsia"/>
                <w:sz w:val="20"/>
                <w:szCs w:val="20"/>
              </w:rPr>
              <w:t>　</w:t>
            </w:r>
          </w:p>
        </w:tc>
      </w:tr>
    </w:tbl>
    <w:p>
      <w:pPr>
        <w:spacing w:beforeLines="20"/>
        <w:rPr>
          <w:sz w:val="20"/>
          <w:szCs w:val="20"/>
        </w:rPr>
      </w:pPr>
      <w:r>
        <w:rPr>
          <w:rFonts w:hint="eastAsia"/>
          <w:sz w:val="20"/>
          <w:szCs w:val="20"/>
        </w:rPr>
        <w:t>说明：</w:t>
      </w:r>
      <w:r>
        <w:rPr>
          <w:sz w:val="20"/>
          <w:szCs w:val="20"/>
        </w:rPr>
        <w:t>“</w:t>
      </w:r>
      <w:r>
        <w:rPr>
          <w:rFonts w:hint="eastAsia"/>
          <w:sz w:val="20"/>
          <w:szCs w:val="20"/>
        </w:rPr>
        <w:t>公用经费</w:t>
      </w:r>
      <w:r>
        <w:rPr>
          <w:sz w:val="20"/>
          <w:szCs w:val="20"/>
        </w:rPr>
        <w:t>”</w:t>
      </w:r>
      <w:r>
        <w:rPr>
          <w:rFonts w:hint="eastAsia"/>
          <w:sz w:val="20"/>
          <w:szCs w:val="20"/>
        </w:rPr>
        <w:t>填报基本支出中的一般商品和服务支出；</w:t>
      </w:r>
      <w:r>
        <w:rPr>
          <w:sz w:val="20"/>
          <w:szCs w:val="20"/>
        </w:rPr>
        <w:t>“</w:t>
      </w:r>
      <w:r>
        <w:rPr>
          <w:rFonts w:hint="eastAsia"/>
          <w:sz w:val="20"/>
          <w:szCs w:val="20"/>
        </w:rPr>
        <w:t>项目支出</w:t>
      </w:r>
      <w:r>
        <w:rPr>
          <w:sz w:val="20"/>
          <w:szCs w:val="20"/>
        </w:rPr>
        <w:t>”</w:t>
      </w:r>
      <w:r>
        <w:rPr>
          <w:rFonts w:hint="eastAsia"/>
          <w:sz w:val="20"/>
          <w:szCs w:val="20"/>
        </w:rPr>
        <w:t>需要填报基本支出以外的所有项目支出情况，包括业务工作项目、运行维护项目和县级专项资金等。</w:t>
      </w:r>
    </w:p>
    <w:p>
      <w:pPr>
        <w:spacing w:beforeLines="50" w:line="300" w:lineRule="exact"/>
        <w:rPr>
          <w:rFonts w:ascii="宋体" w:hAnsi="宋体" w:eastAsia="宋体" w:cs="宋体"/>
          <w:sz w:val="20"/>
          <w:szCs w:val="20"/>
          <w:lang w:eastAsia="zh-CN"/>
        </w:rPr>
      </w:pPr>
      <w:r>
        <w:rPr>
          <w:rFonts w:hint="eastAsia" w:ascii="宋体" w:hAnsi="宋体" w:cs="宋体"/>
          <w:sz w:val="20"/>
          <w:szCs w:val="20"/>
        </w:rPr>
        <w:t>填表人：</w:t>
      </w:r>
      <w:r>
        <w:rPr>
          <w:rFonts w:hint="eastAsia" w:ascii="宋体" w:hAnsi="宋体" w:eastAsia="宋体" w:cs="宋体"/>
          <w:sz w:val="20"/>
          <w:szCs w:val="20"/>
          <w:lang w:eastAsia="zh-CN"/>
        </w:rPr>
        <w:t>王娟</w:t>
      </w:r>
      <w:r>
        <w:rPr>
          <w:rFonts w:hint="eastAsia" w:ascii="宋体" w:hAnsi="宋体" w:cs="宋体"/>
          <w:sz w:val="20"/>
          <w:szCs w:val="20"/>
        </w:rPr>
        <w:t xml:space="preserve">          联系电话： </w:t>
      </w:r>
      <w:r>
        <w:rPr>
          <w:rFonts w:hint="eastAsia" w:ascii="宋体" w:hAnsi="宋体" w:eastAsia="宋体" w:cs="宋体"/>
          <w:sz w:val="20"/>
          <w:szCs w:val="20"/>
          <w:lang w:eastAsia="zh-CN"/>
        </w:rPr>
        <w:t>（</w:t>
      </w:r>
      <w:r>
        <w:rPr>
          <w:rFonts w:hint="eastAsia" w:ascii="宋体" w:hAnsi="宋体" w:eastAsia="宋体" w:cs="宋体"/>
          <w:sz w:val="20"/>
          <w:szCs w:val="20"/>
          <w:lang w:val="en-US" w:eastAsia="zh-CN"/>
        </w:rPr>
        <w:t>0734）6656858</w:t>
      </w:r>
      <w:r>
        <w:rPr>
          <w:rFonts w:hint="eastAsia" w:ascii="宋体" w:hAnsi="宋体" w:cs="宋体"/>
          <w:sz w:val="20"/>
          <w:szCs w:val="20"/>
        </w:rPr>
        <w:t xml:space="preserve">           单位负责人签字</w:t>
      </w:r>
      <w:r>
        <w:rPr>
          <w:rFonts w:hint="eastAsia" w:ascii="宋体" w:hAnsi="宋体" w:eastAsia="宋体" w:cs="宋体"/>
          <w:sz w:val="20"/>
          <w:szCs w:val="20"/>
          <w:lang w:eastAsia="zh-CN"/>
        </w:rPr>
        <w:t>：</w:t>
      </w:r>
    </w:p>
    <w:p>
      <w:pPr>
        <w:spacing w:beforeLines="2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附件</w:t>
      </w:r>
      <w:r>
        <w:rPr>
          <w:rFonts w:hint="eastAsia" w:eastAsia="仿宋"/>
          <w:sz w:val="32"/>
          <w:szCs w:val="32"/>
        </w:rPr>
        <w:t xml:space="preserve">1-2 </w:t>
      </w:r>
    </w:p>
    <w:p>
      <w:pPr>
        <w:jc w:val="center"/>
        <w:rPr>
          <w:rFonts w:ascii="方正小标宋_GBK" w:hAnsi="方正小标宋_GBK" w:eastAsia="方正小标宋_GBK" w:cs="方正小标宋_GBK"/>
          <w:sz w:val="36"/>
          <w:szCs w:val="36"/>
        </w:rPr>
      </w:pPr>
      <w:r>
        <w:rPr>
          <w:rFonts w:hint="eastAsia" w:ascii="方正小标宋_GBK" w:hAnsi="方正小标宋_GBK" w:eastAsia="方正小标宋_GBK" w:cs="方正小标宋_GBK"/>
          <w:sz w:val="36"/>
          <w:szCs w:val="36"/>
        </w:rPr>
        <w:t>部门整体支出绩效自评表</w:t>
      </w:r>
    </w:p>
    <w:p>
      <w:pPr>
        <w:spacing w:line="320" w:lineRule="exact"/>
        <w:jc w:val="center"/>
        <w:rPr>
          <w:rFonts w:ascii="方正小标宋_GBK" w:eastAsia="方正小标宋_GBK"/>
          <w:sz w:val="28"/>
          <w:szCs w:val="28"/>
        </w:rPr>
      </w:pPr>
      <w:r>
        <w:rPr>
          <w:rFonts w:hint="eastAsia" w:ascii="方正小标宋_GBK" w:eastAsia="方正小标宋_GBK"/>
          <w:sz w:val="28"/>
          <w:szCs w:val="28"/>
        </w:rPr>
        <w:t>（</w:t>
      </w:r>
      <w:r>
        <w:rPr>
          <w:rFonts w:ascii="方正小标宋_GBK" w:eastAsia="方正小标宋_GBK"/>
          <w:sz w:val="28"/>
          <w:szCs w:val="28"/>
        </w:rPr>
        <w:t xml:space="preserve"> </w:t>
      </w:r>
      <w:r>
        <w:rPr>
          <w:rFonts w:hint="eastAsia" w:ascii="方正小标宋_GBK" w:eastAsia="方正小标宋_GBK"/>
          <w:sz w:val="28"/>
          <w:szCs w:val="28"/>
          <w:lang w:eastAsia="zh-CN"/>
        </w:rPr>
        <w:t>202</w:t>
      </w:r>
      <w:r>
        <w:rPr>
          <w:rFonts w:hint="eastAsia" w:ascii="方正小标宋_GBK" w:eastAsia="方正小标宋_GBK"/>
          <w:sz w:val="28"/>
          <w:szCs w:val="28"/>
          <w:lang w:val="en-US" w:eastAsia="zh-CN"/>
        </w:rPr>
        <w:t>2</w:t>
      </w:r>
      <w:r>
        <w:rPr>
          <w:rFonts w:ascii="方正小标宋_GBK" w:eastAsia="方正小标宋_GBK"/>
          <w:sz w:val="28"/>
          <w:szCs w:val="28"/>
        </w:rPr>
        <w:t xml:space="preserve">  </w:t>
      </w:r>
      <w:r>
        <w:rPr>
          <w:rFonts w:hint="eastAsia"/>
          <w:sz w:val="28"/>
          <w:szCs w:val="28"/>
        </w:rPr>
        <w:t>年度</w:t>
      </w:r>
      <w:r>
        <w:rPr>
          <w:rFonts w:hint="eastAsia" w:ascii="方正小标宋_GBK" w:eastAsia="方正小标宋_GBK"/>
          <w:sz w:val="28"/>
          <w:szCs w:val="28"/>
        </w:rPr>
        <w:t>）</w:t>
      </w:r>
    </w:p>
    <w:p>
      <w:pPr>
        <w:spacing w:line="300" w:lineRule="exact"/>
        <w:rPr>
          <w:rFonts w:ascii="宋体"/>
          <w:sz w:val="20"/>
          <w:szCs w:val="20"/>
        </w:rPr>
      </w:pPr>
      <w:r>
        <w:rPr>
          <w:rFonts w:hint="eastAsia" w:ascii="宋体"/>
          <w:sz w:val="20"/>
          <w:szCs w:val="20"/>
        </w:rPr>
        <w:t>填报单位（盖章）：</w:t>
      </w:r>
      <w:r>
        <w:rPr>
          <w:rFonts w:hint="eastAsia"/>
          <w:sz w:val="20"/>
          <w:szCs w:val="20"/>
          <w:lang w:eastAsia="zh-CN"/>
        </w:rPr>
        <w:t>衡阳县医疗保障局</w:t>
      </w:r>
      <w:r>
        <w:rPr>
          <w:rFonts w:ascii="宋体"/>
          <w:sz w:val="20"/>
          <w:szCs w:val="20"/>
        </w:rPr>
        <w:t xml:space="preserve">                 </w:t>
      </w:r>
      <w:r>
        <w:rPr>
          <w:rFonts w:hint="eastAsia" w:ascii="宋体" w:eastAsia="宋体"/>
          <w:sz w:val="20"/>
          <w:szCs w:val="20"/>
          <w:lang w:eastAsia="zh-CN"/>
        </w:rPr>
        <w:t xml:space="preserve"> </w:t>
      </w:r>
      <w:r>
        <w:rPr>
          <w:rFonts w:ascii="宋体"/>
          <w:sz w:val="20"/>
          <w:szCs w:val="20"/>
        </w:rPr>
        <w:t xml:space="preserve"> </w:t>
      </w:r>
      <w:r>
        <w:rPr>
          <w:rFonts w:hint="eastAsia" w:ascii="宋体"/>
          <w:sz w:val="20"/>
          <w:szCs w:val="20"/>
        </w:rPr>
        <w:t xml:space="preserve"> 填报时间：</w:t>
      </w:r>
      <w:r>
        <w:rPr>
          <w:rFonts w:hint="eastAsia" w:eastAsia="宋体"/>
          <w:sz w:val="20"/>
          <w:szCs w:val="20"/>
          <w:lang w:val="en-US" w:eastAsia="zh-CN"/>
        </w:rPr>
        <w:t>2022.2.28</w:t>
      </w:r>
    </w:p>
    <w:tbl>
      <w:tblPr>
        <w:tblStyle w:val="8"/>
        <w:tblW w:w="9211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4"/>
        <w:gridCol w:w="1101"/>
        <w:gridCol w:w="399"/>
        <w:gridCol w:w="741"/>
        <w:gridCol w:w="609"/>
        <w:gridCol w:w="1335"/>
        <w:gridCol w:w="1290"/>
        <w:gridCol w:w="1110"/>
        <w:gridCol w:w="825"/>
        <w:gridCol w:w="98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814" w:type="dxa"/>
            <w:vMerge w:val="restart"/>
            <w:textDirection w:val="tbRlV"/>
            <w:vAlign w:val="center"/>
          </w:tcPr>
          <w:p>
            <w:pPr>
              <w:widowControl/>
              <w:ind w:left="113" w:right="113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部门资金（万元）</w:t>
            </w:r>
          </w:p>
        </w:tc>
        <w:tc>
          <w:tcPr>
            <w:tcW w:w="1500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350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年初预算数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全年预算数</w:t>
            </w:r>
          </w:p>
        </w:tc>
        <w:tc>
          <w:tcPr>
            <w:tcW w:w="129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全年执行数</w:t>
            </w:r>
          </w:p>
        </w:tc>
        <w:tc>
          <w:tcPr>
            <w:tcW w:w="111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执行率</w:t>
            </w:r>
          </w:p>
        </w:tc>
        <w:tc>
          <w:tcPr>
            <w:tcW w:w="825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分值</w:t>
            </w:r>
          </w:p>
        </w:tc>
        <w:tc>
          <w:tcPr>
            <w:tcW w:w="987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得分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14" w:type="dxa"/>
            <w:vMerge w:val="continue"/>
            <w:textDirection w:val="tbRlV"/>
            <w:vAlign w:val="center"/>
          </w:tcPr>
          <w:p>
            <w:pPr>
              <w:widowControl/>
              <w:ind w:left="113" w:right="113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500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年度资金总额</w:t>
            </w:r>
          </w:p>
        </w:tc>
        <w:tc>
          <w:tcPr>
            <w:tcW w:w="1350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t>250.64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t>686.58</w:t>
            </w:r>
            <w:r>
              <w:rPr>
                <w:rFonts w:hint="eastAsia" w:ascii="宋体" w:hAnsi="宋体" w:cs="宋体"/>
                <w:sz w:val="20"/>
                <w:szCs w:val="20"/>
              </w:rPr>
              <w:t>　</w:t>
            </w:r>
          </w:p>
        </w:tc>
        <w:tc>
          <w:tcPr>
            <w:tcW w:w="129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t>686.58</w:t>
            </w:r>
            <w:r>
              <w:rPr>
                <w:rFonts w:hint="eastAsia" w:ascii="宋体" w:hAnsi="宋体" w:cs="宋体"/>
                <w:sz w:val="20"/>
                <w:szCs w:val="20"/>
              </w:rPr>
              <w:t>　</w:t>
            </w:r>
          </w:p>
        </w:tc>
        <w:tc>
          <w:tcPr>
            <w:tcW w:w="111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t>100%</w:t>
            </w:r>
            <w:r>
              <w:rPr>
                <w:rFonts w:hint="eastAsia" w:ascii="宋体" w:hAnsi="宋体" w:cs="宋体"/>
                <w:sz w:val="20"/>
                <w:szCs w:val="20"/>
              </w:rPr>
              <w:t>　</w:t>
            </w:r>
          </w:p>
        </w:tc>
        <w:tc>
          <w:tcPr>
            <w:tcW w:w="825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10</w:t>
            </w:r>
          </w:p>
        </w:tc>
        <w:tc>
          <w:tcPr>
            <w:tcW w:w="987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t>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14" w:type="dxa"/>
            <w:vMerge w:val="continue"/>
            <w:textDirection w:val="tbRlV"/>
            <w:vAlign w:val="center"/>
          </w:tcPr>
          <w:p>
            <w:pPr>
              <w:widowControl/>
              <w:ind w:left="113" w:right="113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4185" w:type="dxa"/>
            <w:gridSpan w:val="5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按收入性质分</w:t>
            </w:r>
          </w:p>
        </w:tc>
        <w:tc>
          <w:tcPr>
            <w:tcW w:w="4212" w:type="dxa"/>
            <w:gridSpan w:val="4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按支出性质分　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14" w:type="dxa"/>
            <w:vMerge w:val="continue"/>
            <w:textDirection w:val="tbRlV"/>
            <w:vAlign w:val="center"/>
          </w:tcPr>
          <w:p>
            <w:pPr>
              <w:widowControl/>
              <w:ind w:left="113" w:right="113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2850" w:type="dxa"/>
            <w:gridSpan w:val="4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其中：一般公共预算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t>686.58</w:t>
            </w:r>
          </w:p>
        </w:tc>
        <w:tc>
          <w:tcPr>
            <w:tcW w:w="2400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基本支出</w:t>
            </w:r>
          </w:p>
        </w:tc>
        <w:tc>
          <w:tcPr>
            <w:tcW w:w="1812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t>686.58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14" w:type="dxa"/>
            <w:vMerge w:val="continue"/>
            <w:textDirection w:val="tbRlV"/>
            <w:vAlign w:val="center"/>
          </w:tcPr>
          <w:p>
            <w:pPr>
              <w:widowControl/>
              <w:ind w:left="113" w:right="113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2850" w:type="dxa"/>
            <w:gridSpan w:val="4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政府性基金拨款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2400" w:type="dxa"/>
            <w:gridSpan w:val="2"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其中：人员经费</w:t>
            </w:r>
          </w:p>
        </w:tc>
        <w:tc>
          <w:tcPr>
            <w:tcW w:w="1812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t>111.28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14" w:type="dxa"/>
            <w:vMerge w:val="continue"/>
            <w:textDirection w:val="tbRlV"/>
            <w:vAlign w:val="center"/>
          </w:tcPr>
          <w:p>
            <w:pPr>
              <w:widowControl/>
              <w:ind w:left="113" w:right="113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2850" w:type="dxa"/>
            <w:gridSpan w:val="4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纳入管理的非税收入拨款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　</w:t>
            </w:r>
          </w:p>
        </w:tc>
        <w:tc>
          <w:tcPr>
            <w:tcW w:w="2400" w:type="dxa"/>
            <w:gridSpan w:val="2"/>
            <w:vAlign w:val="center"/>
          </w:tcPr>
          <w:p>
            <w:pPr>
              <w:widowControl/>
              <w:ind w:firstLine="400" w:firstLineChars="200"/>
              <w:jc w:val="right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公用经费</w:t>
            </w:r>
          </w:p>
        </w:tc>
        <w:tc>
          <w:tcPr>
            <w:tcW w:w="1812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t>575.3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14" w:type="dxa"/>
            <w:vMerge w:val="continue"/>
            <w:textDirection w:val="tbRlV"/>
            <w:vAlign w:val="center"/>
          </w:tcPr>
          <w:p>
            <w:pPr>
              <w:widowControl/>
              <w:ind w:left="113" w:right="113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2850" w:type="dxa"/>
            <w:gridSpan w:val="4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其他资金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　</w:t>
            </w:r>
          </w:p>
        </w:tc>
        <w:tc>
          <w:tcPr>
            <w:tcW w:w="2400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项目支出</w:t>
            </w:r>
          </w:p>
        </w:tc>
        <w:tc>
          <w:tcPr>
            <w:tcW w:w="1812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814" w:type="dxa"/>
            <w:vMerge w:val="restart"/>
            <w:textDirection w:val="tbRlV"/>
            <w:vAlign w:val="center"/>
          </w:tcPr>
          <w:p>
            <w:pPr>
              <w:widowControl/>
              <w:ind w:left="113" w:right="113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年度总体目标</w:t>
            </w:r>
          </w:p>
        </w:tc>
        <w:tc>
          <w:tcPr>
            <w:tcW w:w="4185" w:type="dxa"/>
            <w:gridSpan w:val="5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年初预期（设定）目标　</w:t>
            </w:r>
          </w:p>
        </w:tc>
        <w:tc>
          <w:tcPr>
            <w:tcW w:w="4212" w:type="dxa"/>
            <w:gridSpan w:val="4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全年实际完成情况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4" w:hRule="atLeast"/>
          <w:jc w:val="center"/>
        </w:trPr>
        <w:tc>
          <w:tcPr>
            <w:tcW w:w="814" w:type="dxa"/>
            <w:vMerge w:val="continue"/>
            <w:textDirection w:val="tbRlV"/>
            <w:vAlign w:val="center"/>
          </w:tcPr>
          <w:p>
            <w:pPr>
              <w:widowControl/>
              <w:ind w:left="113" w:right="113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4185" w:type="dxa"/>
            <w:gridSpan w:val="5"/>
            <w:vAlign w:val="center"/>
          </w:tcPr>
          <w:p>
            <w:pPr>
              <w:widowControl/>
              <w:numPr>
                <w:ilvl w:val="0"/>
                <w:numId w:val="3"/>
              </w:numPr>
              <w:tabs>
                <w:tab w:val="left" w:pos="312"/>
              </w:tabs>
              <w:jc w:val="left"/>
              <w:textAlignment w:val="center"/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　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 w:bidi="ar"/>
              </w:rPr>
              <w:t>深化医保支付方式改革。</w:t>
            </w:r>
          </w:p>
          <w:p>
            <w:pPr>
              <w:widowControl/>
              <w:numPr>
                <w:ilvl w:val="0"/>
                <w:numId w:val="3"/>
              </w:numPr>
              <w:tabs>
                <w:tab w:val="left" w:pos="312"/>
              </w:tabs>
              <w:jc w:val="left"/>
              <w:textAlignment w:val="center"/>
              <w:rPr>
                <w:rFonts w:hint="default" w:ascii="宋体" w:hAnsi="宋体" w:cs="宋体"/>
                <w:color w:val="000000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 w:bidi="ar"/>
              </w:rPr>
              <w:t>加强医保基金监管。</w:t>
            </w:r>
          </w:p>
          <w:p>
            <w:pPr>
              <w:widowControl/>
              <w:numPr>
                <w:ilvl w:val="0"/>
                <w:numId w:val="3"/>
              </w:numPr>
              <w:tabs>
                <w:tab w:val="left" w:pos="312"/>
              </w:tabs>
              <w:jc w:val="left"/>
              <w:textAlignment w:val="center"/>
              <w:rPr>
                <w:rFonts w:hint="default" w:ascii="宋体" w:hAnsi="宋体" w:cs="宋体"/>
                <w:color w:val="000000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 w:bidi="ar"/>
              </w:rPr>
              <w:t>抓保障，维护参保群众利益。</w:t>
            </w:r>
          </w:p>
          <w:p>
            <w:pPr>
              <w:widowControl/>
              <w:rPr>
                <w:rFonts w:ascii="宋体" w:hAnsi="宋体" w:eastAsia="宋体" w:cs="宋体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 w:bidi="ar"/>
              </w:rPr>
              <w:t>4.抓征缴，巩固提高参保率。</w:t>
            </w:r>
          </w:p>
        </w:tc>
        <w:tc>
          <w:tcPr>
            <w:tcW w:w="4212" w:type="dxa"/>
            <w:gridSpan w:val="4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　</w:t>
            </w:r>
          </w:p>
          <w:p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eastAsia="zh-CN"/>
              </w:rPr>
              <w:t>已完成年度总体目标</w:t>
            </w:r>
            <w:r>
              <w:rPr>
                <w:rFonts w:hint="eastAsia" w:ascii="宋体" w:hAnsi="宋体" w:cs="宋体"/>
                <w:sz w:val="20"/>
                <w:szCs w:val="20"/>
              </w:rPr>
      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  <w:jc w:val="center"/>
        </w:trPr>
        <w:tc>
          <w:tcPr>
            <w:tcW w:w="814" w:type="dxa"/>
            <w:vMerge w:val="restart"/>
            <w:textDirection w:val="tbRlV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绩效指标</w:t>
            </w:r>
          </w:p>
        </w:tc>
        <w:tc>
          <w:tcPr>
            <w:tcW w:w="1101" w:type="dxa"/>
            <w:textDirection w:val="lrTb"/>
            <w:vAlign w:val="center"/>
          </w:tcPr>
          <w:p>
            <w:pPr>
              <w:widowControl/>
              <w:jc w:val="both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一级指标</w:t>
            </w:r>
          </w:p>
        </w:tc>
        <w:tc>
          <w:tcPr>
            <w:tcW w:w="1140" w:type="dxa"/>
            <w:gridSpan w:val="2"/>
            <w:textDirection w:val="lrTb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二级指标</w:t>
            </w:r>
          </w:p>
        </w:tc>
        <w:tc>
          <w:tcPr>
            <w:tcW w:w="1944" w:type="dxa"/>
            <w:gridSpan w:val="2"/>
            <w:textDirection w:val="lrTb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三级指标　</w:t>
            </w:r>
          </w:p>
        </w:tc>
        <w:tc>
          <w:tcPr>
            <w:tcW w:w="1290" w:type="dxa"/>
            <w:textDirection w:val="lrTb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指标值</w:t>
            </w:r>
          </w:p>
        </w:tc>
        <w:tc>
          <w:tcPr>
            <w:tcW w:w="1110" w:type="dxa"/>
            <w:textDirection w:val="lrTb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完成值</w:t>
            </w:r>
          </w:p>
        </w:tc>
        <w:tc>
          <w:tcPr>
            <w:tcW w:w="825" w:type="dxa"/>
            <w:textDirection w:val="lrTb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分值</w:t>
            </w:r>
          </w:p>
        </w:tc>
        <w:tc>
          <w:tcPr>
            <w:tcW w:w="987" w:type="dxa"/>
            <w:textDirection w:val="lrTb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得分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4" w:hRule="exact"/>
          <w:jc w:val="center"/>
        </w:trPr>
        <w:tc>
          <w:tcPr>
            <w:tcW w:w="814" w:type="dxa"/>
            <w:vMerge w:val="continue"/>
            <w:textDirection w:val="lrTb"/>
            <w:vAlign w:val="center"/>
          </w:tcPr>
          <w:p>
            <w:pPr>
              <w:widowControl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101" w:type="dxa"/>
            <w:vMerge w:val="restart"/>
            <w:textDirection w:val="lrTb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产出</w:t>
            </w:r>
          </w:p>
          <w:p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指标</w:t>
            </w:r>
          </w:p>
          <w:p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（50分）</w:t>
            </w:r>
          </w:p>
        </w:tc>
        <w:tc>
          <w:tcPr>
            <w:tcW w:w="1140" w:type="dxa"/>
            <w:gridSpan w:val="2"/>
            <w:vMerge w:val="restart"/>
            <w:textDirection w:val="lrTb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数量指标</w:t>
            </w:r>
          </w:p>
        </w:tc>
        <w:tc>
          <w:tcPr>
            <w:tcW w:w="1944" w:type="dxa"/>
            <w:gridSpan w:val="2"/>
            <w:textDirection w:val="lrTb"/>
            <w:vAlign w:val="center"/>
          </w:tcPr>
          <w:p>
            <w:pPr>
              <w:widowControl/>
              <w:jc w:val="both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eastAsia="zh-CN"/>
              </w:rPr>
              <w:t>城乡居民医保参保人数</w:t>
            </w:r>
          </w:p>
        </w:tc>
        <w:tc>
          <w:tcPr>
            <w:tcW w:w="1290" w:type="dxa"/>
            <w:textDirection w:val="lrTb"/>
            <w:vAlign w:val="center"/>
          </w:tcPr>
          <w:p>
            <w:pPr>
              <w:widowControl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　</w:t>
            </w:r>
            <w:r>
              <w:rPr>
                <w:rFonts w:hint="default" w:ascii="Arial" w:hAnsi="Arial" w:eastAsia="宋体" w:cs="Arial"/>
                <w:sz w:val="20"/>
                <w:szCs w:val="20"/>
                <w:lang w:val="en-US" w:eastAsia="zh-CN"/>
              </w:rPr>
              <w:t>≥</w:t>
            </w:r>
            <w:r>
              <w:rPr>
                <w:rFonts w:hint="eastAsia" w:ascii="宋体" w:hAnsi="宋体" w:cs="宋体"/>
                <w:sz w:val="20"/>
                <w:szCs w:val="20"/>
                <w:lang w:val="en-US" w:eastAsia="zh-CN"/>
              </w:rPr>
              <w:t>930000</w:t>
            </w:r>
          </w:p>
        </w:tc>
        <w:tc>
          <w:tcPr>
            <w:tcW w:w="1110" w:type="dxa"/>
            <w:textDirection w:val="lrTb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  <w:lang w:val="en-US" w:eastAsia="zh-CN"/>
              </w:rPr>
              <w:t>930978</w:t>
            </w:r>
          </w:p>
        </w:tc>
        <w:tc>
          <w:tcPr>
            <w:tcW w:w="825" w:type="dxa"/>
            <w:vMerge w:val="restart"/>
            <w:textDirection w:val="lrTb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eastAsia="zh-CN"/>
              </w:rPr>
              <w:t>50</w:t>
            </w:r>
          </w:p>
        </w:tc>
        <w:tc>
          <w:tcPr>
            <w:tcW w:w="987" w:type="dxa"/>
            <w:vMerge w:val="restart"/>
            <w:textDirection w:val="lrTb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t>48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814" w:type="dxa"/>
            <w:vMerge w:val="continue"/>
            <w:textDirection w:val="lrTb"/>
            <w:vAlign w:val="center"/>
          </w:tcPr>
          <w:p>
            <w:pPr>
              <w:widowControl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101" w:type="dxa"/>
            <w:vMerge w:val="continue"/>
            <w:textDirection w:val="lrTb"/>
            <w:vAlign w:val="center"/>
          </w:tcPr>
          <w:p>
            <w:pPr>
              <w:widowControl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140" w:type="dxa"/>
            <w:gridSpan w:val="2"/>
            <w:vMerge w:val="continue"/>
            <w:textDirection w:val="lrTb"/>
            <w:vAlign w:val="center"/>
          </w:tcPr>
          <w:p>
            <w:pPr>
              <w:widowControl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944" w:type="dxa"/>
            <w:gridSpan w:val="2"/>
            <w:textDirection w:val="lrTb"/>
            <w:vAlign w:val="center"/>
          </w:tcPr>
          <w:p>
            <w:pPr>
              <w:widowControl/>
              <w:jc w:val="both"/>
              <w:textAlignment w:val="center"/>
              <w:rPr>
                <w:rFonts w:ascii="宋体" w:hAnsi="宋体" w:eastAsia="宋体" w:cs="宋体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eastAsia="zh-CN"/>
              </w:rPr>
              <w:t>贫困人员参保人数</w:t>
            </w:r>
          </w:p>
        </w:tc>
        <w:tc>
          <w:tcPr>
            <w:tcW w:w="1290" w:type="dxa"/>
            <w:textDirection w:val="lrTb"/>
            <w:vAlign w:val="center"/>
          </w:tcPr>
          <w:p>
            <w:pPr>
              <w:widowControl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　</w:t>
            </w:r>
            <w:r>
              <w:rPr>
                <w:rFonts w:hint="default" w:ascii="Arial" w:hAnsi="Arial" w:eastAsia="宋体" w:cs="Arial"/>
                <w:sz w:val="20"/>
                <w:szCs w:val="20"/>
                <w:lang w:val="en-US" w:eastAsia="zh-CN"/>
              </w:rPr>
              <w:t>≥</w:t>
            </w:r>
            <w:r>
              <w:rPr>
                <w:rFonts w:hint="eastAsia" w:ascii="宋体" w:hAnsi="宋体" w:cs="宋体"/>
                <w:sz w:val="20"/>
                <w:szCs w:val="20"/>
                <w:lang w:val="en-US" w:eastAsia="zh-CN"/>
              </w:rPr>
              <w:t>45000</w:t>
            </w:r>
          </w:p>
        </w:tc>
        <w:tc>
          <w:tcPr>
            <w:tcW w:w="1110" w:type="dxa"/>
            <w:textDirection w:val="lrTb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  <w:lang w:val="en-US" w:eastAsia="zh-CN"/>
              </w:rPr>
              <w:t>45019</w:t>
            </w:r>
          </w:p>
        </w:tc>
        <w:tc>
          <w:tcPr>
            <w:tcW w:w="825" w:type="dxa"/>
            <w:vMerge w:val="continue"/>
            <w:textDirection w:val="lrTb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987" w:type="dxa"/>
            <w:vMerge w:val="continue"/>
            <w:textDirection w:val="lrTb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9" w:hRule="exact"/>
          <w:jc w:val="center"/>
        </w:trPr>
        <w:tc>
          <w:tcPr>
            <w:tcW w:w="814" w:type="dxa"/>
            <w:vMerge w:val="continue"/>
            <w:textDirection w:val="lrTb"/>
            <w:vAlign w:val="center"/>
          </w:tcPr>
          <w:p>
            <w:pPr>
              <w:widowControl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101" w:type="dxa"/>
            <w:vMerge w:val="continue"/>
            <w:textDirection w:val="lrTb"/>
            <w:vAlign w:val="center"/>
          </w:tcPr>
          <w:p>
            <w:pPr>
              <w:widowControl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140" w:type="dxa"/>
            <w:gridSpan w:val="2"/>
            <w:vMerge w:val="continue"/>
            <w:textDirection w:val="lrTb"/>
            <w:vAlign w:val="center"/>
          </w:tcPr>
          <w:p>
            <w:pPr>
              <w:widowControl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944" w:type="dxa"/>
            <w:gridSpan w:val="2"/>
            <w:textDirection w:val="lrTb"/>
            <w:vAlign w:val="center"/>
          </w:tcPr>
          <w:p>
            <w:pPr>
              <w:widowControl/>
              <w:jc w:val="both"/>
              <w:textAlignment w:val="center"/>
              <w:rPr>
                <w:rFonts w:ascii="宋体" w:hAnsi="宋体" w:eastAsia="宋体" w:cs="宋体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eastAsia="zh-CN"/>
              </w:rPr>
              <w:t>城镇职工医保参保人数</w:t>
            </w:r>
          </w:p>
        </w:tc>
        <w:tc>
          <w:tcPr>
            <w:tcW w:w="1290" w:type="dxa"/>
            <w:textDirection w:val="lrTb"/>
            <w:vAlign w:val="center"/>
          </w:tcPr>
          <w:p>
            <w:pPr>
              <w:widowControl/>
              <w:ind w:firstLine="200" w:firstLineChars="100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default" w:ascii="Arial" w:hAnsi="Arial" w:cs="Arial"/>
                <w:sz w:val="20"/>
                <w:szCs w:val="20"/>
              </w:rPr>
              <w:t>≥</w:t>
            </w:r>
            <w:r>
              <w:rPr>
                <w:rFonts w:hint="eastAsia" w:ascii="宋体" w:hAnsi="宋体" w:cs="宋体"/>
                <w:sz w:val="20"/>
                <w:szCs w:val="20"/>
                <w:lang w:val="en-US" w:eastAsia="zh-CN"/>
              </w:rPr>
              <w:t>52490</w:t>
            </w:r>
          </w:p>
        </w:tc>
        <w:tc>
          <w:tcPr>
            <w:tcW w:w="1110" w:type="dxa"/>
            <w:textDirection w:val="lrTb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  <w:lang w:val="en-US" w:eastAsia="zh-CN"/>
              </w:rPr>
              <w:t>52490</w:t>
            </w:r>
          </w:p>
        </w:tc>
        <w:tc>
          <w:tcPr>
            <w:tcW w:w="825" w:type="dxa"/>
            <w:vMerge w:val="continue"/>
            <w:textDirection w:val="lrTb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987" w:type="dxa"/>
            <w:vMerge w:val="continue"/>
            <w:textDirection w:val="lrTb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exact"/>
          <w:jc w:val="center"/>
        </w:trPr>
        <w:tc>
          <w:tcPr>
            <w:tcW w:w="814" w:type="dxa"/>
            <w:vMerge w:val="continue"/>
            <w:textDirection w:val="lrTb"/>
            <w:vAlign w:val="center"/>
          </w:tcPr>
          <w:p>
            <w:pPr>
              <w:widowControl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101" w:type="dxa"/>
            <w:vMerge w:val="continue"/>
            <w:textDirection w:val="lrTb"/>
            <w:vAlign w:val="center"/>
          </w:tcPr>
          <w:p>
            <w:pPr>
              <w:widowControl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140" w:type="dxa"/>
            <w:gridSpan w:val="2"/>
            <w:vMerge w:val="restart"/>
            <w:textDirection w:val="lrTb"/>
            <w:vAlign w:val="center"/>
          </w:tcPr>
          <w:p>
            <w:pPr>
              <w:widowControl/>
              <w:jc w:val="both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  <w:lang w:val="en-US" w:eastAsia="zh-CN"/>
              </w:rPr>
              <w:t>质量指标</w:t>
            </w:r>
          </w:p>
        </w:tc>
        <w:tc>
          <w:tcPr>
            <w:tcW w:w="1944" w:type="dxa"/>
            <w:gridSpan w:val="2"/>
            <w:textDirection w:val="lrTb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eastAsia="zh-CN"/>
              </w:rPr>
              <w:t>各项工作完成达标率</w:t>
            </w:r>
          </w:p>
        </w:tc>
        <w:tc>
          <w:tcPr>
            <w:tcW w:w="1290" w:type="dxa"/>
            <w:textDirection w:val="lrTb"/>
            <w:vAlign w:val="center"/>
          </w:tcPr>
          <w:p>
            <w:pPr>
              <w:widowControl/>
              <w:rPr>
                <w:rFonts w:ascii="宋体" w:hAnsi="宋体" w:eastAsia="宋体" w:cs="宋体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sz w:val="20"/>
                <w:szCs w:val="20"/>
                <w:lang w:val="en-US" w:eastAsia="zh-CN"/>
              </w:rPr>
              <w:t>100%</w:t>
            </w:r>
          </w:p>
        </w:tc>
        <w:tc>
          <w:tcPr>
            <w:tcW w:w="1110" w:type="dxa"/>
            <w:textDirection w:val="lrTb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t>100%</w:t>
            </w:r>
          </w:p>
        </w:tc>
        <w:tc>
          <w:tcPr>
            <w:tcW w:w="825" w:type="dxa"/>
            <w:vMerge w:val="continue"/>
            <w:textDirection w:val="lrTb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987" w:type="dxa"/>
            <w:vMerge w:val="continue"/>
            <w:textDirection w:val="lrTb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9" w:hRule="exact"/>
          <w:jc w:val="center"/>
        </w:trPr>
        <w:tc>
          <w:tcPr>
            <w:tcW w:w="814" w:type="dxa"/>
            <w:vMerge w:val="continue"/>
            <w:textDirection w:val="lrTb"/>
            <w:vAlign w:val="center"/>
          </w:tcPr>
          <w:p>
            <w:pPr>
              <w:widowControl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101" w:type="dxa"/>
            <w:vMerge w:val="continue"/>
            <w:textDirection w:val="lrTb"/>
            <w:vAlign w:val="center"/>
          </w:tcPr>
          <w:p>
            <w:pPr>
              <w:widowControl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140" w:type="dxa"/>
            <w:gridSpan w:val="2"/>
            <w:vMerge w:val="continue"/>
            <w:textDirection w:val="lrTb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944" w:type="dxa"/>
            <w:gridSpan w:val="2"/>
            <w:textDirection w:val="lrTb"/>
            <w:vAlign w:val="center"/>
          </w:tcPr>
          <w:p>
            <w:pPr>
              <w:widowControl/>
              <w:jc w:val="both"/>
              <w:textAlignment w:val="center"/>
              <w:rPr>
                <w:rFonts w:ascii="宋体" w:hAnsi="宋体" w:eastAsia="宋体" w:cs="宋体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eastAsia="zh-CN"/>
              </w:rPr>
              <w:t>对协议医疗机构稽查率</w:t>
            </w:r>
          </w:p>
        </w:tc>
        <w:tc>
          <w:tcPr>
            <w:tcW w:w="1290" w:type="dxa"/>
            <w:textDirection w:val="lrTb"/>
            <w:vAlign w:val="center"/>
          </w:tcPr>
          <w:p>
            <w:pPr>
              <w:widowControl/>
              <w:rPr>
                <w:rFonts w:ascii="宋体" w:hAnsi="宋体" w:eastAsia="宋体" w:cs="宋体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sz w:val="20"/>
                <w:szCs w:val="20"/>
                <w:lang w:val="en-US" w:eastAsia="zh-CN"/>
              </w:rPr>
              <w:t>100%</w:t>
            </w:r>
          </w:p>
        </w:tc>
        <w:tc>
          <w:tcPr>
            <w:tcW w:w="1110" w:type="dxa"/>
            <w:textDirection w:val="lrTb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t>100%</w:t>
            </w:r>
          </w:p>
        </w:tc>
        <w:tc>
          <w:tcPr>
            <w:tcW w:w="825" w:type="dxa"/>
            <w:vMerge w:val="continue"/>
            <w:textDirection w:val="lrTb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987" w:type="dxa"/>
            <w:vMerge w:val="continue"/>
            <w:textDirection w:val="lrTb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exact"/>
          <w:jc w:val="center"/>
        </w:trPr>
        <w:tc>
          <w:tcPr>
            <w:tcW w:w="814" w:type="dxa"/>
            <w:vMerge w:val="continue"/>
            <w:textDirection w:val="lrTb"/>
            <w:vAlign w:val="center"/>
          </w:tcPr>
          <w:p>
            <w:pPr>
              <w:widowControl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101" w:type="dxa"/>
            <w:vMerge w:val="continue"/>
            <w:textDirection w:val="lrTb"/>
            <w:vAlign w:val="center"/>
          </w:tcPr>
          <w:p>
            <w:pPr>
              <w:widowControl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140" w:type="dxa"/>
            <w:gridSpan w:val="2"/>
            <w:textDirection w:val="lrTb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时效指标</w:t>
            </w:r>
          </w:p>
        </w:tc>
        <w:tc>
          <w:tcPr>
            <w:tcW w:w="1944" w:type="dxa"/>
            <w:gridSpan w:val="2"/>
            <w:textDirection w:val="lrTb"/>
            <w:vAlign w:val="center"/>
          </w:tcPr>
          <w:p>
            <w:pPr>
              <w:widowControl/>
              <w:jc w:val="both"/>
              <w:textAlignment w:val="center"/>
              <w:rPr>
                <w:rFonts w:ascii="宋体" w:hAnsi="宋体" w:eastAsia="宋体" w:cs="宋体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eastAsia="zh-CN"/>
              </w:rPr>
              <w:t>各项工作及时完成率</w:t>
            </w:r>
          </w:p>
        </w:tc>
        <w:tc>
          <w:tcPr>
            <w:tcW w:w="1290" w:type="dxa"/>
            <w:textDirection w:val="lrTb"/>
            <w:vAlign w:val="center"/>
          </w:tcPr>
          <w:p>
            <w:pPr>
              <w:jc w:val="left"/>
              <w:rPr>
                <w:rFonts w:ascii="宋体" w:hAnsi="宋体" w:eastAsia="宋体" w:cs="宋体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/>
              </w:rPr>
              <w:t>100%</w:t>
            </w:r>
          </w:p>
        </w:tc>
        <w:tc>
          <w:tcPr>
            <w:tcW w:w="1110" w:type="dxa"/>
            <w:textDirection w:val="lrTb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sz w:val="20"/>
                <w:szCs w:val="20"/>
                <w:lang w:val="en-US" w:eastAsia="zh-CN"/>
              </w:rPr>
              <w:t>90%</w:t>
            </w:r>
          </w:p>
        </w:tc>
        <w:tc>
          <w:tcPr>
            <w:tcW w:w="825" w:type="dxa"/>
            <w:vMerge w:val="continue"/>
            <w:textDirection w:val="lrTb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987" w:type="dxa"/>
            <w:vMerge w:val="continue"/>
            <w:textDirection w:val="lrTb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9" w:hRule="exact"/>
          <w:jc w:val="center"/>
        </w:trPr>
        <w:tc>
          <w:tcPr>
            <w:tcW w:w="814" w:type="dxa"/>
            <w:vMerge w:val="continue"/>
            <w:textDirection w:val="lrTb"/>
            <w:vAlign w:val="center"/>
          </w:tcPr>
          <w:p>
            <w:pPr>
              <w:widowControl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101" w:type="dxa"/>
            <w:vMerge w:val="continue"/>
            <w:textDirection w:val="lrTb"/>
            <w:vAlign w:val="center"/>
          </w:tcPr>
          <w:p>
            <w:pPr>
              <w:widowControl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140" w:type="dxa"/>
            <w:gridSpan w:val="2"/>
            <w:textDirection w:val="lrTb"/>
            <w:vAlign w:val="center"/>
          </w:tcPr>
          <w:p>
            <w:pPr>
              <w:widowControl/>
              <w:jc w:val="both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eastAsia="zh-CN"/>
              </w:rPr>
              <w:t>成本</w:t>
            </w:r>
            <w:r>
              <w:rPr>
                <w:rFonts w:hint="eastAsia" w:ascii="宋体" w:hAnsi="宋体" w:cs="宋体"/>
                <w:sz w:val="20"/>
                <w:szCs w:val="20"/>
              </w:rPr>
              <w:t>指标</w:t>
            </w:r>
          </w:p>
        </w:tc>
        <w:tc>
          <w:tcPr>
            <w:tcW w:w="1944" w:type="dxa"/>
            <w:gridSpan w:val="2"/>
            <w:textDirection w:val="lrTb"/>
            <w:vAlign w:val="center"/>
          </w:tcPr>
          <w:p>
            <w:pPr>
              <w:widowControl/>
              <w:rPr>
                <w:rFonts w:ascii="宋体" w:hAnsi="宋体" w:eastAsia="宋体" w:cs="宋体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eastAsia="zh-CN"/>
              </w:rPr>
              <w:t>基本支出</w:t>
            </w:r>
          </w:p>
        </w:tc>
        <w:tc>
          <w:tcPr>
            <w:tcW w:w="1290" w:type="dxa"/>
            <w:textDirection w:val="lrTb"/>
            <w:vAlign w:val="center"/>
          </w:tcPr>
          <w:p>
            <w:pPr>
              <w:widowControl/>
              <w:rPr>
                <w:rFonts w:ascii="宋体" w:hAnsi="宋体" w:eastAsia="宋体" w:cs="宋体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eastAsia="zh-CN"/>
              </w:rPr>
              <w:t>不超过预算数</w:t>
            </w:r>
          </w:p>
        </w:tc>
        <w:tc>
          <w:tcPr>
            <w:tcW w:w="1110" w:type="dxa"/>
            <w:textDirection w:val="lrTb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eastAsia="zh-CN"/>
              </w:rPr>
              <w:t>未超预算</w:t>
            </w:r>
          </w:p>
        </w:tc>
        <w:tc>
          <w:tcPr>
            <w:tcW w:w="825" w:type="dxa"/>
            <w:vMerge w:val="continue"/>
            <w:textDirection w:val="lrTb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987" w:type="dxa"/>
            <w:vMerge w:val="continue"/>
            <w:textDirection w:val="lrTb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4" w:hRule="exact"/>
          <w:jc w:val="center"/>
        </w:trPr>
        <w:tc>
          <w:tcPr>
            <w:tcW w:w="814" w:type="dxa"/>
            <w:vMerge w:val="restart"/>
            <w:textDirection w:val="lrTb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绩效指标</w:t>
            </w:r>
          </w:p>
        </w:tc>
        <w:tc>
          <w:tcPr>
            <w:tcW w:w="1101" w:type="dxa"/>
            <w:vMerge w:val="restart"/>
            <w:textDirection w:val="lrTb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效益</w:t>
            </w:r>
          </w:p>
          <w:p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指标</w:t>
            </w:r>
          </w:p>
          <w:p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（30分）</w:t>
            </w:r>
          </w:p>
        </w:tc>
        <w:tc>
          <w:tcPr>
            <w:tcW w:w="1140" w:type="dxa"/>
            <w:gridSpan w:val="2"/>
            <w:textDirection w:val="lrTb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经济效益指标</w:t>
            </w:r>
          </w:p>
        </w:tc>
        <w:tc>
          <w:tcPr>
            <w:tcW w:w="1944" w:type="dxa"/>
            <w:gridSpan w:val="2"/>
            <w:textDirection w:val="lrTb"/>
            <w:vAlign w:val="center"/>
          </w:tcPr>
          <w:p>
            <w:pPr>
              <w:widowControl/>
              <w:rPr>
                <w:rFonts w:ascii="宋体" w:hAnsi="宋体" w:eastAsia="宋体" w:cs="宋体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eastAsia="zh-CN"/>
              </w:rPr>
              <w:t>维持基金收支平衡，略有结余</w:t>
            </w:r>
          </w:p>
        </w:tc>
        <w:tc>
          <w:tcPr>
            <w:tcW w:w="1290" w:type="dxa"/>
            <w:textDirection w:val="lrTb"/>
            <w:vAlign w:val="center"/>
          </w:tcPr>
          <w:p>
            <w:pPr>
              <w:widowControl/>
              <w:rPr>
                <w:rFonts w:ascii="宋体" w:hAnsi="宋体" w:eastAsia="宋体" w:cs="宋体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eastAsia="zh-CN"/>
              </w:rPr>
              <w:t>平衡</w:t>
            </w:r>
          </w:p>
        </w:tc>
        <w:tc>
          <w:tcPr>
            <w:tcW w:w="1110" w:type="dxa"/>
            <w:textDirection w:val="lrTb"/>
            <w:vAlign w:val="center"/>
          </w:tcPr>
          <w:p>
            <w:pPr>
              <w:widowControl/>
              <w:jc w:val="both"/>
              <w:rPr>
                <w:rFonts w:ascii="宋体" w:hAnsi="宋体" w:eastAsia="宋体" w:cs="宋体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eastAsia="zh-CN"/>
              </w:rPr>
              <w:t>基本平衡</w:t>
            </w:r>
          </w:p>
        </w:tc>
        <w:tc>
          <w:tcPr>
            <w:tcW w:w="825" w:type="dxa"/>
            <w:vMerge w:val="restart"/>
            <w:textDirection w:val="lrTb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eastAsia="zh-CN"/>
              </w:rPr>
              <w:t>30</w:t>
            </w:r>
          </w:p>
        </w:tc>
        <w:tc>
          <w:tcPr>
            <w:tcW w:w="987" w:type="dxa"/>
            <w:vMerge w:val="restart"/>
            <w:textDirection w:val="lrTb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t>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4" w:hRule="exact"/>
          <w:jc w:val="center"/>
        </w:trPr>
        <w:tc>
          <w:tcPr>
            <w:tcW w:w="814" w:type="dxa"/>
            <w:vMerge w:val="continue"/>
            <w:textDirection w:val="lrTb"/>
            <w:vAlign w:val="center"/>
          </w:tcPr>
          <w:p>
            <w:pPr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101" w:type="dxa"/>
            <w:vMerge w:val="continue"/>
            <w:textDirection w:val="lrTb"/>
            <w:vAlign w:val="center"/>
          </w:tcPr>
          <w:p>
            <w:pPr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140" w:type="dxa"/>
            <w:gridSpan w:val="2"/>
            <w:vMerge w:val="restart"/>
            <w:textDirection w:val="lrTb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社会效益指标</w:t>
            </w:r>
          </w:p>
        </w:tc>
        <w:tc>
          <w:tcPr>
            <w:tcW w:w="1944" w:type="dxa"/>
            <w:gridSpan w:val="2"/>
            <w:textDirection w:val="lrTb"/>
            <w:vAlign w:val="center"/>
          </w:tcPr>
          <w:p>
            <w:pPr>
              <w:widowControl/>
              <w:rPr>
                <w:rFonts w:ascii="宋体" w:hAnsi="宋体" w:eastAsia="宋体" w:cs="宋体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/>
              </w:rPr>
              <w:t>通过项目的实施，确保资金使用效率，保障各项工作顺利开展</w:t>
            </w:r>
          </w:p>
        </w:tc>
        <w:tc>
          <w:tcPr>
            <w:tcW w:w="1290" w:type="dxa"/>
            <w:textDirection w:val="lrTb"/>
            <w:vAlign w:val="center"/>
          </w:tcPr>
          <w:p>
            <w:pPr>
              <w:widowControl/>
              <w:rPr>
                <w:rFonts w:ascii="宋体" w:hAnsi="宋体" w:eastAsia="宋体" w:cs="宋体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eastAsia="zh-CN"/>
              </w:rPr>
              <w:t>平稳运行</w:t>
            </w:r>
          </w:p>
        </w:tc>
        <w:tc>
          <w:tcPr>
            <w:tcW w:w="1110" w:type="dxa"/>
            <w:textDirection w:val="lrTb"/>
            <w:vAlign w:val="center"/>
          </w:tcPr>
          <w:p>
            <w:pPr>
              <w:widowControl/>
              <w:jc w:val="both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eastAsia="zh-CN"/>
              </w:rPr>
              <w:t>平稳运行</w:t>
            </w:r>
          </w:p>
        </w:tc>
        <w:tc>
          <w:tcPr>
            <w:tcW w:w="825" w:type="dxa"/>
            <w:vMerge w:val="continue"/>
            <w:textDirection w:val="lrTb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987" w:type="dxa"/>
            <w:vMerge w:val="continue"/>
            <w:textDirection w:val="lrTb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4" w:hRule="exact"/>
          <w:jc w:val="center"/>
        </w:trPr>
        <w:tc>
          <w:tcPr>
            <w:tcW w:w="814" w:type="dxa"/>
            <w:vMerge w:val="continue"/>
            <w:textDirection w:val="lrTb"/>
            <w:vAlign w:val="center"/>
          </w:tcPr>
          <w:p>
            <w:pPr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101" w:type="dxa"/>
            <w:vMerge w:val="continue"/>
            <w:textDirection w:val="lrTb"/>
            <w:vAlign w:val="center"/>
          </w:tcPr>
          <w:p>
            <w:pPr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140" w:type="dxa"/>
            <w:gridSpan w:val="2"/>
            <w:vMerge w:val="continue"/>
            <w:textDirection w:val="lrTb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944" w:type="dxa"/>
            <w:gridSpan w:val="2"/>
            <w:textDirection w:val="lrTb"/>
            <w:vAlign w:val="center"/>
          </w:tcPr>
          <w:p>
            <w:pPr>
              <w:widowControl/>
              <w:rPr>
                <w:rFonts w:ascii="宋体" w:hAnsi="宋体" w:eastAsia="宋体" w:cs="宋体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保障广大参保人员的医疗待遇，维护社会的稳定。</w:t>
            </w:r>
          </w:p>
        </w:tc>
        <w:tc>
          <w:tcPr>
            <w:tcW w:w="1290" w:type="dxa"/>
            <w:textDirection w:val="lrTb"/>
            <w:vAlign w:val="center"/>
          </w:tcPr>
          <w:p>
            <w:pPr>
              <w:widowControl/>
              <w:rPr>
                <w:rFonts w:ascii="宋体" w:hAnsi="宋体" w:eastAsia="宋体" w:cs="宋体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保障广大参保人员的医疗待遇，维护社会的稳定。</w:t>
            </w:r>
          </w:p>
        </w:tc>
        <w:tc>
          <w:tcPr>
            <w:tcW w:w="1110" w:type="dxa"/>
            <w:textDirection w:val="lrTb"/>
            <w:vAlign w:val="center"/>
          </w:tcPr>
          <w:p>
            <w:pPr>
              <w:widowControl/>
              <w:jc w:val="both"/>
              <w:rPr>
                <w:rFonts w:ascii="宋体" w:hAnsi="宋体" w:eastAsia="宋体" w:cs="宋体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保障广大参保人员的医疗待遇，维护社会的稳定。</w:t>
            </w:r>
          </w:p>
        </w:tc>
        <w:tc>
          <w:tcPr>
            <w:tcW w:w="825" w:type="dxa"/>
            <w:vMerge w:val="continue"/>
            <w:textDirection w:val="lrTb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987" w:type="dxa"/>
            <w:vMerge w:val="continue"/>
            <w:textDirection w:val="lrTb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9" w:hRule="exact"/>
          <w:jc w:val="center"/>
        </w:trPr>
        <w:tc>
          <w:tcPr>
            <w:tcW w:w="814" w:type="dxa"/>
            <w:vMerge w:val="continue"/>
            <w:textDirection w:val="lrTb"/>
            <w:vAlign w:val="center"/>
          </w:tcPr>
          <w:p>
            <w:pPr>
              <w:widowControl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101" w:type="dxa"/>
            <w:vMerge w:val="continue"/>
            <w:textDirection w:val="lrTb"/>
            <w:vAlign w:val="center"/>
          </w:tcPr>
          <w:p>
            <w:pPr>
              <w:widowControl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140" w:type="dxa"/>
            <w:gridSpan w:val="2"/>
            <w:textDirection w:val="lrTb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可持续影响指标</w:t>
            </w:r>
          </w:p>
        </w:tc>
        <w:tc>
          <w:tcPr>
            <w:tcW w:w="1944" w:type="dxa"/>
            <w:gridSpan w:val="2"/>
            <w:textDirection w:val="lrTb"/>
            <w:vAlign w:val="center"/>
          </w:tcPr>
          <w:p>
            <w:pPr>
              <w:widowControl/>
              <w:spacing w:line="280" w:lineRule="exact"/>
              <w:rPr>
                <w:rFonts w:ascii="宋体" w:hAnsi="宋体" w:eastAsia="宋体" w:cs="宋体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eastAsia="zh-CN"/>
              </w:rPr>
              <w:t>体现政策导向，长期保障工作平稳进行</w:t>
            </w:r>
          </w:p>
        </w:tc>
        <w:tc>
          <w:tcPr>
            <w:tcW w:w="1290" w:type="dxa"/>
            <w:textDirection w:val="lrTb"/>
            <w:vAlign w:val="center"/>
          </w:tcPr>
          <w:p>
            <w:pPr>
              <w:widowControl/>
              <w:spacing w:line="280" w:lineRule="exact"/>
              <w:rPr>
                <w:rFonts w:ascii="宋体" w:hAnsi="宋体" w:eastAsia="宋体" w:cs="宋体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eastAsia="zh-CN"/>
              </w:rPr>
              <w:t>长期</w:t>
            </w:r>
          </w:p>
        </w:tc>
        <w:tc>
          <w:tcPr>
            <w:tcW w:w="1110" w:type="dxa"/>
            <w:textDirection w:val="lrTb"/>
            <w:vAlign w:val="center"/>
          </w:tcPr>
          <w:p>
            <w:pPr>
              <w:widowControl/>
              <w:spacing w:line="280" w:lineRule="exact"/>
              <w:jc w:val="both"/>
              <w:rPr>
                <w:rFonts w:ascii="宋体" w:hAnsi="宋体" w:eastAsia="宋体" w:cs="宋体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eastAsia="zh-CN"/>
              </w:rPr>
              <w:t>长期</w:t>
            </w:r>
          </w:p>
        </w:tc>
        <w:tc>
          <w:tcPr>
            <w:tcW w:w="825" w:type="dxa"/>
            <w:vMerge w:val="continue"/>
            <w:textDirection w:val="lrTb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sz w:val="20"/>
                <w:szCs w:val="20"/>
                <w:lang w:eastAsia="zh-CN"/>
              </w:rPr>
            </w:pPr>
          </w:p>
        </w:tc>
        <w:tc>
          <w:tcPr>
            <w:tcW w:w="987" w:type="dxa"/>
            <w:vMerge w:val="continue"/>
            <w:textDirection w:val="lrTb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sz w:val="20"/>
                <w:szCs w:val="20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9" w:hRule="exact"/>
          <w:jc w:val="center"/>
        </w:trPr>
        <w:tc>
          <w:tcPr>
            <w:tcW w:w="814" w:type="dxa"/>
            <w:vMerge w:val="continue"/>
            <w:textDirection w:val="lrTb"/>
            <w:vAlign w:val="center"/>
          </w:tcPr>
          <w:p>
            <w:pPr>
              <w:widowControl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101" w:type="dxa"/>
            <w:textDirection w:val="lrTb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满意度</w:t>
            </w:r>
          </w:p>
          <w:p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指标</w:t>
            </w:r>
          </w:p>
          <w:p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（10分）</w:t>
            </w:r>
          </w:p>
        </w:tc>
        <w:tc>
          <w:tcPr>
            <w:tcW w:w="1140" w:type="dxa"/>
            <w:gridSpan w:val="2"/>
            <w:textDirection w:val="lrTb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社会公众或服务对象满意度指标</w:t>
            </w:r>
          </w:p>
        </w:tc>
        <w:tc>
          <w:tcPr>
            <w:tcW w:w="1944" w:type="dxa"/>
            <w:gridSpan w:val="2"/>
            <w:textDirection w:val="lrTb"/>
            <w:vAlign w:val="center"/>
          </w:tcPr>
          <w:p>
            <w:pPr>
              <w:widowControl/>
              <w:rPr>
                <w:rFonts w:ascii="宋体" w:hAnsi="宋体" w:eastAsia="宋体" w:cs="宋体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eastAsia="zh-CN"/>
              </w:rPr>
              <w:t>参保人员满意度</w:t>
            </w:r>
          </w:p>
        </w:tc>
        <w:tc>
          <w:tcPr>
            <w:tcW w:w="1290" w:type="dxa"/>
            <w:textDirection w:val="lrTb"/>
            <w:vAlign w:val="center"/>
          </w:tcPr>
          <w:p>
            <w:pPr>
              <w:widowControl/>
              <w:rPr>
                <w:rFonts w:ascii="宋体" w:hAnsi="宋体" w:eastAsia="宋体" w:cs="宋体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　</w:t>
            </w:r>
            <w:r>
              <w:rPr>
                <w:rFonts w:hint="eastAsia" w:ascii="宋体" w:hAnsi="宋体" w:cs="宋体"/>
                <w:sz w:val="18"/>
                <w:szCs w:val="18"/>
              </w:rPr>
              <w:t>≥</w:t>
            </w:r>
            <w:r>
              <w:rPr>
                <w:rFonts w:hint="eastAsia" w:ascii="宋体" w:hAnsi="宋体" w:cs="宋体"/>
                <w:sz w:val="18"/>
                <w:szCs w:val="18"/>
                <w:lang w:val="en-US" w:eastAsia="zh-CN"/>
              </w:rPr>
              <w:t>98</w:t>
            </w: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%</w:t>
            </w:r>
          </w:p>
        </w:tc>
        <w:tc>
          <w:tcPr>
            <w:tcW w:w="1110" w:type="dxa"/>
            <w:textDirection w:val="lrTb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≥</w:t>
            </w: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9</w:t>
            </w: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8</w:t>
            </w: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%</w:t>
            </w:r>
          </w:p>
        </w:tc>
        <w:tc>
          <w:tcPr>
            <w:tcW w:w="825" w:type="dxa"/>
            <w:textDirection w:val="lrTb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eastAsia="zh-CN"/>
              </w:rPr>
              <w:t>1</w:t>
            </w: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987" w:type="dxa"/>
            <w:textDirection w:val="lrTb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t>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4" w:hRule="exact"/>
          <w:jc w:val="center"/>
        </w:trPr>
        <w:tc>
          <w:tcPr>
            <w:tcW w:w="3055" w:type="dxa"/>
            <w:gridSpan w:val="4"/>
            <w:textDirection w:val="lrTb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综合评定等级</w:t>
            </w:r>
          </w:p>
        </w:tc>
        <w:tc>
          <w:tcPr>
            <w:tcW w:w="1944" w:type="dxa"/>
            <w:gridSpan w:val="2"/>
            <w:textDirection w:val="lrTb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eastAsia="zh-CN"/>
              </w:rPr>
              <w:t>优秀</w:t>
            </w:r>
          </w:p>
        </w:tc>
        <w:tc>
          <w:tcPr>
            <w:tcW w:w="2400" w:type="dxa"/>
            <w:gridSpan w:val="2"/>
            <w:textDirection w:val="lrTb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总  分</w:t>
            </w:r>
          </w:p>
        </w:tc>
        <w:tc>
          <w:tcPr>
            <w:tcW w:w="825" w:type="dxa"/>
            <w:textDirection w:val="lrTb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100</w:t>
            </w:r>
          </w:p>
        </w:tc>
        <w:tc>
          <w:tcPr>
            <w:tcW w:w="987" w:type="dxa"/>
            <w:textDirection w:val="lrTb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eastAsia="zh-CN"/>
              </w:rPr>
              <w:t>9</w:t>
            </w: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t>7</w:t>
            </w:r>
          </w:p>
        </w:tc>
      </w:tr>
    </w:tbl>
    <w:p>
      <w:pPr>
        <w:spacing w:beforeLines="100" w:line="300" w:lineRule="exact"/>
        <w:rPr>
          <w:rFonts w:ascii="宋体" w:hAnsi="宋体" w:cs="宋体"/>
          <w:sz w:val="20"/>
          <w:szCs w:val="20"/>
        </w:rPr>
      </w:pPr>
      <w:r>
        <w:rPr>
          <w:rFonts w:hint="eastAsia" w:ascii="宋体" w:hAnsi="宋体" w:cs="宋体"/>
          <w:sz w:val="20"/>
          <w:szCs w:val="20"/>
        </w:rPr>
        <w:t>填表人：</w:t>
      </w:r>
      <w:r>
        <w:rPr>
          <w:rFonts w:hint="eastAsia" w:ascii="宋体" w:hAnsi="宋体" w:eastAsia="宋体" w:cs="宋体"/>
          <w:sz w:val="20"/>
          <w:szCs w:val="20"/>
          <w:lang w:eastAsia="zh-CN"/>
        </w:rPr>
        <w:t>王娟</w:t>
      </w:r>
      <w:r>
        <w:rPr>
          <w:rFonts w:hint="eastAsia" w:ascii="宋体" w:hAnsi="宋体" w:cs="宋体"/>
          <w:sz w:val="20"/>
          <w:szCs w:val="20"/>
        </w:rPr>
        <w:t xml:space="preserve">        联系电话：</w:t>
      </w:r>
      <w:r>
        <w:rPr>
          <w:rFonts w:hint="eastAsia" w:ascii="宋体" w:hAnsi="宋体" w:eastAsia="宋体" w:cs="宋体"/>
          <w:sz w:val="20"/>
          <w:szCs w:val="20"/>
          <w:lang w:eastAsia="zh-CN"/>
        </w:rPr>
        <w:t>（</w:t>
      </w:r>
      <w:r>
        <w:rPr>
          <w:rFonts w:hint="eastAsia" w:ascii="宋体" w:hAnsi="宋体" w:eastAsia="宋体" w:cs="宋体"/>
          <w:sz w:val="20"/>
          <w:szCs w:val="20"/>
          <w:lang w:val="en-US" w:eastAsia="zh-CN"/>
        </w:rPr>
        <w:t>0734）6656858</w:t>
      </w:r>
      <w:r>
        <w:rPr>
          <w:rFonts w:hint="eastAsia" w:ascii="宋体" w:hAnsi="宋体" w:cs="宋体"/>
          <w:sz w:val="20"/>
          <w:szCs w:val="20"/>
        </w:rPr>
        <w:t xml:space="preserve">         单位负责人签字：</w:t>
      </w:r>
    </w:p>
    <w:p>
      <w:pPr>
        <w:spacing w:line="300" w:lineRule="exact"/>
        <w:rPr>
          <w:rFonts w:ascii="仿宋_GB2312" w:hAnsi="仿宋_GB2312" w:eastAsia="仿宋_GB2312" w:cs="仿宋_GB2312"/>
          <w:sz w:val="20"/>
          <w:szCs w:val="20"/>
        </w:rPr>
      </w:pPr>
    </w:p>
    <w:p>
      <w:pPr>
        <w:spacing w:line="300" w:lineRule="exact"/>
        <w:rPr>
          <w:rFonts w:ascii="仿宋_GB2312" w:hAnsi="仿宋_GB2312" w:eastAsia="仿宋_GB2312" w:cs="仿宋_GB2312"/>
          <w:sz w:val="20"/>
          <w:szCs w:val="20"/>
        </w:rPr>
      </w:pPr>
      <w:r>
        <w:rPr>
          <w:rFonts w:hint="eastAsia" w:ascii="仿宋_GB2312" w:hAnsi="仿宋_GB2312" w:eastAsia="仿宋_GB2312" w:cs="仿宋_GB2312"/>
          <w:sz w:val="20"/>
          <w:szCs w:val="20"/>
        </w:rPr>
        <w:t xml:space="preserve">说明：1.评价等级分为优秀（S≥90）、良好（90＞S≥80）、较差（80＞S≥60）、 </w:t>
      </w:r>
    </w:p>
    <w:p>
      <w:pPr>
        <w:spacing w:line="300" w:lineRule="exact"/>
        <w:rPr>
          <w:rFonts w:ascii="仿宋_GB2312" w:hAnsi="仿宋_GB2312" w:eastAsia="仿宋_GB2312" w:cs="仿宋_GB2312"/>
          <w:sz w:val="20"/>
          <w:szCs w:val="20"/>
        </w:rPr>
      </w:pPr>
      <w:r>
        <w:rPr>
          <w:rFonts w:hint="eastAsia" w:ascii="仿宋_GB2312" w:hAnsi="仿宋_GB2312" w:eastAsia="仿宋_GB2312" w:cs="仿宋_GB2312"/>
          <w:sz w:val="20"/>
          <w:szCs w:val="20"/>
        </w:rPr>
        <w:t xml:space="preserve">        差（S＜60）</w:t>
      </w:r>
      <w:r>
        <w:rPr>
          <w:rFonts w:hint="eastAsia" w:eastAsia="仿宋_GB2312"/>
          <w:sz w:val="20"/>
          <w:szCs w:val="20"/>
        </w:rPr>
        <w:t>。</w:t>
      </w:r>
    </w:p>
    <w:p>
      <w:pPr>
        <w:spacing w:line="300" w:lineRule="exact"/>
        <w:rPr>
          <w:lang w:eastAsia="zh-CN"/>
        </w:rPr>
      </w:pPr>
      <w:r>
        <w:rPr>
          <w:rFonts w:hint="eastAsia" w:ascii="仿宋_GB2312" w:hAnsi="仿宋_GB2312" w:eastAsia="仿宋_GB2312" w:cs="仿宋_GB2312"/>
          <w:sz w:val="20"/>
          <w:szCs w:val="20"/>
        </w:rPr>
        <w:t xml:space="preserve">      2.三级绩效指标按需自行增减行。不涉及的二级指标可删除不要。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moder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decorative"/>
    <w:pitch w:val="default"/>
    <w:sig w:usb0="E4002EFF" w:usb1="C000247B" w:usb2="00000009" w:usb3="00000000" w:csb0="200001FF" w:csb1="00000000"/>
  </w:font>
  <w:font w:name="Arial">
    <w:panose1 w:val="020B0604020202020204"/>
    <w:charset w:val="01"/>
    <w:family w:val="decorative"/>
    <w:pitch w:val="default"/>
    <w:sig w:usb0="E0002EFF" w:usb1="C000785B" w:usb2="00000009" w:usb3="00000000" w:csb0="400001FF" w:csb1="FFFF0000"/>
  </w:font>
  <w:font w:name="Courier New">
    <w:panose1 w:val="02070309020205020404"/>
    <w:charset w:val="01"/>
    <w:family w:val="swiss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moder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swiss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roman"/>
    <w:pitch w:val="default"/>
    <w:sig w:usb0="E4002EFF" w:usb1="C000247B" w:usb2="00000009" w:usb3="00000000" w:csb0="200001FF" w:csb1="00000000"/>
  </w:font>
  <w:font w:name="Arial">
    <w:panose1 w:val="020B0604020202020204"/>
    <w:charset w:val="01"/>
    <w:family w:val="roman"/>
    <w:pitch w:val="default"/>
    <w:sig w:usb0="E0002EFF" w:usb1="C000785B" w:usb2="00000009" w:usb3="00000000" w:csb0="400001FF" w:csb1="FFFF0000"/>
  </w:font>
  <w:font w:name="Courier New">
    <w:panose1 w:val="02070309020205020404"/>
    <w:charset w:val="01"/>
    <w:family w:val="decorative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swiss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decorative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modern"/>
    <w:pitch w:val="default"/>
    <w:sig w:usb0="E4002EFF" w:usb1="C000247B" w:usb2="00000009" w:usb3="00000000" w:csb0="200001FF" w:csb1="00000000"/>
  </w:font>
  <w:font w:name="Arial">
    <w:panose1 w:val="020B0604020202020204"/>
    <w:charset w:val="01"/>
    <w:family w:val="modern"/>
    <w:pitch w:val="default"/>
    <w:sig w:usb0="E0002EFF" w:usb1="C000785B" w:usb2="00000009" w:usb3="00000000" w:csb0="400001FF" w:csb1="FFFF0000"/>
  </w:font>
  <w:font w:name="Courier New">
    <w:panose1 w:val="02070309020205020404"/>
    <w:charset w:val="01"/>
    <w:family w:val="roma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decorative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altName w:val="微软雅黑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Wingdings 2">
    <w:altName w:val="Webdings"/>
    <w:panose1 w:val="00000000000000000000"/>
    <w:charset w:val="00"/>
    <w:family w:val="auto"/>
    <w:pitch w:val="default"/>
    <w:sig w:usb0="00000000" w:usb1="00000000" w:usb2="00000000" w:usb3="00000000" w:csb0="8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黑体">
    <w:panose1 w:val="02010609060101010101"/>
    <w:charset w:val="86"/>
    <w:family w:val="decorative"/>
    <w:pitch w:val="default"/>
    <w:sig w:usb0="800002BF" w:usb1="38CF7CFA" w:usb2="00000016" w:usb3="00000000" w:csb0="00040001" w:csb1="00000000"/>
  </w:font>
  <w:font w:name="PMingLiU">
    <w:altName w:val="PMingLiU-ExtB"/>
    <w:panose1 w:val="02020500000000000000"/>
    <w:charset w:val="88"/>
    <w:family w:val="swiss"/>
    <w:pitch w:val="default"/>
    <w:sig w:usb0="00000000" w:usb1="00000000" w:usb2="00000016" w:usb3="00000000" w:csb0="00100001" w:csb1="00000000"/>
  </w:font>
  <w:font w:name="Calibri Light">
    <w:panose1 w:val="020F0302020204030204"/>
    <w:charset w:val="00"/>
    <w:family w:val="roman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Webdings">
    <w:panose1 w:val="05030102010509060703"/>
    <w:charset w:val="00"/>
    <w:family w:val="auto"/>
    <w:pitch w:val="default"/>
    <w:sig w:usb0="00000000" w:usb1="00000000" w:usb2="00000000" w:usb3="00000000" w:csb0="80000000" w:csb1="00000000"/>
  </w:font>
  <w:font w:name="P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  <w:font w:name="PMingLiU-ExtB">
    <w:panose1 w:val="02020500000000000000"/>
    <w:charset w:val="88"/>
    <w:family w:val="swiss"/>
    <w:pitch w:val="default"/>
    <w:sig w:usb0="8000002F" w:usb1="02000008" w:usb2="00000000" w:usb3="00000000" w:csb0="00100001" w:csb1="00000000"/>
  </w:font>
  <w:font w:name="微软雅黑">
    <w:panose1 w:val="020B0503020204020204"/>
    <w:charset w:val="86"/>
    <w:family w:val="roman"/>
    <w:pitch w:val="default"/>
    <w:sig w:usb0="80000287" w:usb1="2ACF3C50" w:usb2="00000016" w:usb3="00000000" w:csb0="0004001F" w:csb1="00000000"/>
  </w:font>
  <w:font w:name="方正小标宋_GBK">
    <w:altName w:val="微软雅黑"/>
    <w:panose1 w:val="02000000000000000000"/>
    <w:charset w:val="86"/>
    <w:family w:val="script"/>
    <w:pitch w:val="default"/>
    <w:sig w:usb0="00000000" w:usb1="00000000" w:usb2="00082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script"/>
    <w:pitch w:val="default"/>
    <w:sig w:usb0="80000287" w:usb1="2ACF3C50" w:usb2="00000016" w:usb3="00000000" w:csb0="0004001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roman"/>
    <w:pitch w:val="default"/>
    <w:sig w:usb0="800002BF" w:usb1="38CF7CFA" w:usb2="00000016" w:usb3="00000000" w:csb0="00040001" w:csb1="00000000"/>
  </w:font>
  <w:font w:name="PMingLiU">
    <w:altName w:val="PMingLiU-ExtB"/>
    <w:panose1 w:val="02020500000000000000"/>
    <w:charset w:val="88"/>
    <w:family w:val="decorative"/>
    <w:pitch w:val="default"/>
    <w:sig w:usb0="00000000" w:usb1="00000000" w:usb2="00000016" w:usb3="00000000" w:csb0="00100001" w:csb1="00000000"/>
  </w:font>
  <w:font w:name="Calibri Light">
    <w:panose1 w:val="020F0302020204030204"/>
    <w:charset w:val="00"/>
    <w:family w:val="modern"/>
    <w:pitch w:val="default"/>
    <w:sig w:usb0="E4002EFF" w:usb1="C000247B" w:usb2="00000009" w:usb3="00000000" w:csb0="200001FF" w:csb1="00000000"/>
  </w:font>
  <w:font w:name="PMingLiU-ExtB">
    <w:panose1 w:val="02020500000000000000"/>
    <w:charset w:val="88"/>
    <w:family w:val="decorative"/>
    <w:pitch w:val="default"/>
    <w:sig w:usb0="8000002F" w:usb1="02000008" w:usb2="00000000" w:usb3="00000000" w:csb0="00100001" w:csb1="00000000"/>
  </w:font>
  <w:font w:name="微软雅黑">
    <w:panose1 w:val="020B0503020204020204"/>
    <w:charset w:val="86"/>
    <w:family w:val="modern"/>
    <w:pitch w:val="default"/>
    <w:sig w:usb0="80000287" w:usb1="2ACF3C50" w:usb2="00000016" w:usb3="00000000" w:csb0="0004001F" w:csb1="00000000"/>
  </w:font>
  <w:font w:name="黑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PMingLiU">
    <w:altName w:val="PMingLiU-ExtB"/>
    <w:panose1 w:val="02020500000000000000"/>
    <w:charset w:val="88"/>
    <w:family w:val="roman"/>
    <w:pitch w:val="default"/>
    <w:sig w:usb0="00000000" w:usb1="00000000" w:usb2="00000016" w:usb3="00000000" w:csb0="00100001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PMingLiU-ExtB">
    <w:panose1 w:val="02020500000000000000"/>
    <w:charset w:val="88"/>
    <w:family w:val="roman"/>
    <w:pitch w:val="default"/>
    <w:sig w:usb0="8000002F" w:usb1="02000008" w:usb2="00000000" w:usb3="00000000" w:csb0="0010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黑体">
    <w:panose1 w:val="02010609060101010101"/>
    <w:charset w:val="86"/>
    <w:family w:val="swiss"/>
    <w:pitch w:val="default"/>
    <w:sig w:usb0="800002BF" w:usb1="38CF7CFA" w:usb2="00000016" w:usb3="00000000" w:csb0="00040001" w:csb1="00000000"/>
  </w:font>
  <w:font w:name="PMingLiU">
    <w:altName w:val="PMingLiU-ExtB"/>
    <w:panose1 w:val="02020500000000000000"/>
    <w:charset w:val="88"/>
    <w:family w:val="modern"/>
    <w:pitch w:val="default"/>
    <w:sig w:usb0="00000000" w:usb1="00000000" w:usb2="00000016" w:usb3="00000000" w:csb0="00100001" w:csb1="00000000"/>
  </w:font>
  <w:font w:name="Calibri Light">
    <w:panose1 w:val="020F0302020204030204"/>
    <w:charset w:val="00"/>
    <w:family w:val="decorative"/>
    <w:pitch w:val="default"/>
    <w:sig w:usb0="E4002EFF" w:usb1="C000247B" w:usb2="00000009" w:usb3="00000000" w:csb0="200001FF" w:csb1="00000000"/>
  </w:font>
  <w:font w:name="PMingLiU-ExtB">
    <w:panose1 w:val="02020500000000000000"/>
    <w:charset w:val="88"/>
    <w:family w:val="modern"/>
    <w:pitch w:val="default"/>
    <w:sig w:usb0="8000002F" w:usb1="02000008" w:usb2="00000000" w:usb3="00000000" w:csb0="00100001" w:csb1="00000000"/>
  </w:font>
  <w:font w:name="微软雅黑">
    <w:panose1 w:val="020B0503020204020204"/>
    <w:charset w:val="86"/>
    <w:family w:val="decorative"/>
    <w:pitch w:val="default"/>
    <w:sig w:usb0="80000287" w:usb1="2ACF3C50" w:usb2="00000016" w:usb3="00000000" w:csb0="0004001F" w:csb1="00000000"/>
  </w:font>
  <w:font w:name="方正小标宋简体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decorative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decorative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decorative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decorative"/>
    <w:pitch w:val="default"/>
    <w:sig w:usb0="800002BF" w:usb1="38CF7CFA" w:usb2="00000016" w:usb3="00000000" w:csb0="00040001" w:csb1="00000000"/>
  </w:font>
  <w:font w:name="Helvetica">
    <w:altName w:val="Arial"/>
    <w:panose1 w:val="020B0604020202020204"/>
    <w:charset w:val="00"/>
    <w:family w:val="roman"/>
    <w:pitch w:val="default"/>
    <w:sig w:usb0="00000000" w:usb1="00000000" w:usb2="00000000" w:usb3="00000000" w:csb0="00000001" w:csb1="00000000"/>
  </w:font>
  <w:font w:name="仿宋_GB2312">
    <w:altName w:val="仿宋"/>
    <w:panose1 w:val="02010609030101010101"/>
    <w:charset w:val="86"/>
    <w:family w:val="roman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roma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roma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roman"/>
    <w:pitch w:val="default"/>
    <w:sig w:usb0="800002BF" w:usb1="38CF7CFA" w:usb2="00000016" w:usb3="00000000" w:csb0="00040001" w:csb1="00000000"/>
  </w:font>
  <w:font w:name="Helvetica">
    <w:altName w:val="Arial"/>
    <w:panose1 w:val="020B0604020202020204"/>
    <w:charset w:val="00"/>
    <w:family w:val="modern"/>
    <w:pitch w:val="default"/>
    <w:sig w:usb0="00000000" w:usb1="00000000" w:usb2="00000000" w:usb3="00000000" w:csb0="0000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0" w:usb3="00000000" w:csb0="00000001" w:csb1="00000000"/>
  </w:font>
  <w:font w:name="仿宋_GB2312">
    <w:altName w:val="仿宋"/>
    <w:panose1 w:val="02010609030101010101"/>
    <w:charset w:val="86"/>
    <w:family w:val="swiss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swiss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swiss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swiss"/>
    <w:pitch w:val="default"/>
    <w:sig w:usb0="800002BF" w:usb1="38CF7CFA" w:usb2="00000016" w:usb3="00000000" w:csb0="00040001" w:csb1="00000000"/>
  </w:font>
  <w:font w:name="Helvetica">
    <w:altName w:val="Arial"/>
    <w:panose1 w:val="020B0604020202020204"/>
    <w:charset w:val="00"/>
    <w:family w:val="decorative"/>
    <w:pitch w:val="default"/>
    <w:sig w:usb0="00000000" w:usb1="00000000" w:usb2="00000000" w:usb3="00000000" w:csb0="00000001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楷体_GB2312">
    <w:altName w:val="楷体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Arial">
    <w:panose1 w:val="020B0604020202020204"/>
    <w:charset w:val="00"/>
    <w:family w:val="modern"/>
    <w:pitch w:val="default"/>
    <w:sig w:usb0="E0002EFF" w:usb1="C000785B" w:usb2="00000009" w:usb3="00000000" w:csb0="400001FF" w:csb1="FFFF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Arial">
    <w:panose1 w:val="020B0604020202020204"/>
    <w:charset w:val="00"/>
    <w:family w:val="decorative"/>
    <w:pitch w:val="default"/>
    <w:sig w:usb0="E0002EFF" w:usb1="C000785B" w:usb2="00000009" w:usb3="00000000" w:csb0="400001FF" w:csb1="FFFF0000"/>
  </w:font>
  <w:font w:name="Arial">
    <w:panose1 w:val="020B0604020202020204"/>
    <w:charset w:val="00"/>
    <w:family w:val="roman"/>
    <w:pitch w:val="default"/>
    <w:sig w:usb0="E0002EFF" w:usb1="C000785B" w:usb2="00000009" w:usb3="00000000" w:csb0="400001FF" w:csb1="FFFF0000"/>
  </w:font>
  <w:font w:name="Wingdings 2">
    <w:altName w:val="Wingdings"/>
    <w:panose1 w:val="05020102010507070707"/>
    <w:charset w:val="02"/>
    <w:family w:val="auto"/>
    <w:pitch w:val="default"/>
    <w:sig w:usb0="00000000" w:usb1="00000000" w:usb2="00000000" w:usb3="00000000" w:csb0="80000000" w:csb1="00000000"/>
  </w:font>
  <w:font w:name="Sitka Subheading">
    <w:panose1 w:val="02000505000000020004"/>
    <w:charset w:val="00"/>
    <w:family w:val="auto"/>
    <w:pitch w:val="default"/>
    <w:sig w:usb0="A00002EF" w:usb1="4000204B" w:usb2="00000000" w:usb3="00000000" w:csb0="2000019F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>
    <w:pPr>
      <w:spacing w:line="1" w:lineRule="exact"/>
    </w:pPr>
    <w:r>
      <mc:AlternateContent>
        <mc:Choice Requires="wps">
          <w:drawing>
            <wp:anchor distT="0" distB="0" distL="114300" distR="114300" simplePos="0" relativeHeight="251658240" behindDoc="1" locked="0" layoutInCell="1" allowOverlap="1">
              <wp:simplePos x="0" y="0"/>
              <wp:positionH relativeFrom="page">
                <wp:posOffset>3710940</wp:posOffset>
              </wp:positionH>
              <wp:positionV relativeFrom="page">
                <wp:posOffset>9890125</wp:posOffset>
              </wp:positionV>
              <wp:extent cx="31750" cy="109855"/>
              <wp:effectExtent l="0" t="0" r="0" b="0"/>
              <wp:wrapNone/>
              <wp:docPr id="1" name="Shape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1750" cy="10985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10"/>
                            <w:rPr>
                              <w:sz w:val="26"/>
                              <w:szCs w:val="26"/>
                            </w:rPr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rPr>
                              <w:sz w:val="26"/>
                              <w:szCs w:val="26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Shape 1" o:spid="_x0000_s1026" o:spt="202" type="#_x0000_t202" style="position:absolute;left:0pt;margin-left:292.2pt;margin-top:778.75pt;height:8.65pt;width:2.5pt;mso-position-horizontal-relative:page;mso-position-vertical-relative:page;mso-wrap-style:none;z-index:-251658240;mso-width-relative:page;mso-height-relative:page;" filled="f" stroked="f" coordsize="21600,21600" o:gfxdata="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">
              <v:fill on="f" focussize="0,0"/>
              <v:stroke on="f" joinstyle="miter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0"/>
                      <w:rPr>
                        <w:sz w:val="26"/>
                        <w:szCs w:val="26"/>
                      </w:rPr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rPr>
                        <w:sz w:val="26"/>
                        <w:szCs w:val="26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1606864817">
    <w:nsid w:val="5FC6CFB1"/>
    <w:multiLevelType w:val="singleLevel"/>
    <w:tmpl w:val="5FC6CFB1"/>
    <w:lvl w:ilvl="0" w:tentative="1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292133725">
    <w:nsid w:val="4D04655D"/>
    <w:multiLevelType w:val="singleLevel"/>
    <w:tmpl w:val="4D04655D"/>
    <w:lvl w:ilvl="0" w:tentative="1">
      <w:start w:val="5"/>
      <w:numFmt w:val="chineseCounting"/>
      <w:suff w:val="nothing"/>
      <w:lvlText w:val="%1、"/>
      <w:lvlJc w:val="left"/>
      <w:rPr>
        <w:rFonts w:hint="eastAsia"/>
      </w:rPr>
    </w:lvl>
  </w:abstractNum>
  <w:abstractNum w:abstractNumId="1651722344">
    <w:nsid w:val="62734868"/>
    <w:multiLevelType w:val="singleLevel"/>
    <w:tmpl w:val="62734868"/>
    <w:lvl w:ilvl="0" w:tentative="1">
      <w:start w:val="2"/>
      <w:numFmt w:val="chineseCounting"/>
      <w:suff w:val="nothing"/>
      <w:lvlText w:val="（%1）"/>
      <w:lvlJc w:val="left"/>
    </w:lvl>
  </w:abstractNum>
  <w:num w:numId="1">
    <w:abstractNumId w:val="1651722344"/>
  </w:num>
  <w:num w:numId="2">
    <w:abstractNumId w:val="1292133725"/>
  </w:num>
  <w:num w:numId="3">
    <w:abstractNumId w:val="16068648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21F6146"/>
    <w:rsid w:val="000A3647"/>
    <w:rsid w:val="000B2F20"/>
    <w:rsid w:val="001372A3"/>
    <w:rsid w:val="00166A3F"/>
    <w:rsid w:val="002150C4"/>
    <w:rsid w:val="0062613B"/>
    <w:rsid w:val="006832BA"/>
    <w:rsid w:val="006E3516"/>
    <w:rsid w:val="007470CC"/>
    <w:rsid w:val="00793554"/>
    <w:rsid w:val="009A733F"/>
    <w:rsid w:val="009B4CDC"/>
    <w:rsid w:val="00B61B65"/>
    <w:rsid w:val="00C77BC1"/>
    <w:rsid w:val="00D173D0"/>
    <w:rsid w:val="019604A9"/>
    <w:rsid w:val="020F463A"/>
    <w:rsid w:val="021C6183"/>
    <w:rsid w:val="02742095"/>
    <w:rsid w:val="02EB5557"/>
    <w:rsid w:val="02EC1E1C"/>
    <w:rsid w:val="037B73C5"/>
    <w:rsid w:val="038C1AB9"/>
    <w:rsid w:val="041F0287"/>
    <w:rsid w:val="042C3965"/>
    <w:rsid w:val="04475814"/>
    <w:rsid w:val="049703BA"/>
    <w:rsid w:val="04F25310"/>
    <w:rsid w:val="050104C5"/>
    <w:rsid w:val="05595040"/>
    <w:rsid w:val="058D22A7"/>
    <w:rsid w:val="065A3F7A"/>
    <w:rsid w:val="067370A2"/>
    <w:rsid w:val="06766A1D"/>
    <w:rsid w:val="06BF5FB2"/>
    <w:rsid w:val="06DE514C"/>
    <w:rsid w:val="07115CA7"/>
    <w:rsid w:val="072D591F"/>
    <w:rsid w:val="074D5B0C"/>
    <w:rsid w:val="0789466C"/>
    <w:rsid w:val="078B7B6F"/>
    <w:rsid w:val="07FD6770"/>
    <w:rsid w:val="08E46EA7"/>
    <w:rsid w:val="08EF7436"/>
    <w:rsid w:val="08F93189"/>
    <w:rsid w:val="090D69E6"/>
    <w:rsid w:val="092C0ECC"/>
    <w:rsid w:val="092D4D1C"/>
    <w:rsid w:val="09A24CDB"/>
    <w:rsid w:val="0A2A393B"/>
    <w:rsid w:val="0AF05C82"/>
    <w:rsid w:val="0B1E54CC"/>
    <w:rsid w:val="0B223ED3"/>
    <w:rsid w:val="0B7329D8"/>
    <w:rsid w:val="0B742D3E"/>
    <w:rsid w:val="0BB50EC3"/>
    <w:rsid w:val="0C3A39D7"/>
    <w:rsid w:val="0C6C17F5"/>
    <w:rsid w:val="0CF41FF2"/>
    <w:rsid w:val="0DC51F28"/>
    <w:rsid w:val="0EE56BF8"/>
    <w:rsid w:val="0EEC778C"/>
    <w:rsid w:val="0F4D7E31"/>
    <w:rsid w:val="0FD57709"/>
    <w:rsid w:val="107B27A5"/>
    <w:rsid w:val="10A81C60"/>
    <w:rsid w:val="11356731"/>
    <w:rsid w:val="11383ACD"/>
    <w:rsid w:val="11454358"/>
    <w:rsid w:val="121730A0"/>
    <w:rsid w:val="124F71D2"/>
    <w:rsid w:val="125C25AB"/>
    <w:rsid w:val="12845CEE"/>
    <w:rsid w:val="12A904AC"/>
    <w:rsid w:val="13806E8A"/>
    <w:rsid w:val="13885A50"/>
    <w:rsid w:val="14132B4A"/>
    <w:rsid w:val="143E3DC5"/>
    <w:rsid w:val="14640782"/>
    <w:rsid w:val="154D4B82"/>
    <w:rsid w:val="16165BCA"/>
    <w:rsid w:val="162A30C2"/>
    <w:rsid w:val="16652160"/>
    <w:rsid w:val="16802D44"/>
    <w:rsid w:val="16CB43F4"/>
    <w:rsid w:val="16ED48B0"/>
    <w:rsid w:val="17244A82"/>
    <w:rsid w:val="174552D3"/>
    <w:rsid w:val="17765045"/>
    <w:rsid w:val="17A05D49"/>
    <w:rsid w:val="17BB757F"/>
    <w:rsid w:val="18494076"/>
    <w:rsid w:val="186F4AA4"/>
    <w:rsid w:val="187334AB"/>
    <w:rsid w:val="18A03075"/>
    <w:rsid w:val="19623A89"/>
    <w:rsid w:val="1A8C3B1A"/>
    <w:rsid w:val="1AF731C9"/>
    <w:rsid w:val="1B535AE1"/>
    <w:rsid w:val="1B772807"/>
    <w:rsid w:val="1BEE7E1F"/>
    <w:rsid w:val="1C7A3345"/>
    <w:rsid w:val="1CA862F7"/>
    <w:rsid w:val="1D0C45DD"/>
    <w:rsid w:val="1D1B77EF"/>
    <w:rsid w:val="1D297C66"/>
    <w:rsid w:val="1D7C63EB"/>
    <w:rsid w:val="1DA41B2E"/>
    <w:rsid w:val="1DDE029B"/>
    <w:rsid w:val="1DE86D9F"/>
    <w:rsid w:val="1E9E304B"/>
    <w:rsid w:val="1F0A6DE6"/>
    <w:rsid w:val="1F184F13"/>
    <w:rsid w:val="204F718E"/>
    <w:rsid w:val="20940C60"/>
    <w:rsid w:val="20B117B1"/>
    <w:rsid w:val="21733A6D"/>
    <w:rsid w:val="2203115E"/>
    <w:rsid w:val="22077B64"/>
    <w:rsid w:val="225A62E9"/>
    <w:rsid w:val="226755FF"/>
    <w:rsid w:val="2278331B"/>
    <w:rsid w:val="23007D7C"/>
    <w:rsid w:val="233D435E"/>
    <w:rsid w:val="23C977C5"/>
    <w:rsid w:val="23DC5161"/>
    <w:rsid w:val="24362377"/>
    <w:rsid w:val="24710ED7"/>
    <w:rsid w:val="247F3A70"/>
    <w:rsid w:val="24821172"/>
    <w:rsid w:val="249F6523"/>
    <w:rsid w:val="254F5042"/>
    <w:rsid w:val="25733F7D"/>
    <w:rsid w:val="258C4EA7"/>
    <w:rsid w:val="25D6079F"/>
    <w:rsid w:val="2612581C"/>
    <w:rsid w:val="26683591"/>
    <w:rsid w:val="267C3FE9"/>
    <w:rsid w:val="26E044D4"/>
    <w:rsid w:val="277A46D2"/>
    <w:rsid w:val="279D398E"/>
    <w:rsid w:val="27B91672"/>
    <w:rsid w:val="282412E8"/>
    <w:rsid w:val="283B0F0D"/>
    <w:rsid w:val="28CC07FC"/>
    <w:rsid w:val="28D72411"/>
    <w:rsid w:val="29030351"/>
    <w:rsid w:val="2914771C"/>
    <w:rsid w:val="296A4C04"/>
    <w:rsid w:val="29D63286"/>
    <w:rsid w:val="2A0F162A"/>
    <w:rsid w:val="2A365850"/>
    <w:rsid w:val="2A5C58A1"/>
    <w:rsid w:val="2A66059D"/>
    <w:rsid w:val="2A68716D"/>
    <w:rsid w:val="2A6C5D2A"/>
    <w:rsid w:val="2ACB6415"/>
    <w:rsid w:val="2B966A1E"/>
    <w:rsid w:val="2BDE1084"/>
    <w:rsid w:val="2BFC151F"/>
    <w:rsid w:val="2C013BC2"/>
    <w:rsid w:val="2D2A6B27"/>
    <w:rsid w:val="2D373C3F"/>
    <w:rsid w:val="2D863045"/>
    <w:rsid w:val="2D976F75"/>
    <w:rsid w:val="2DA1586C"/>
    <w:rsid w:val="2DC25DA1"/>
    <w:rsid w:val="2DF43FF2"/>
    <w:rsid w:val="2E40086E"/>
    <w:rsid w:val="2E886A64"/>
    <w:rsid w:val="2EF47418"/>
    <w:rsid w:val="2EFD2155"/>
    <w:rsid w:val="2EFE7D27"/>
    <w:rsid w:val="2EFF57A9"/>
    <w:rsid w:val="2F7666EC"/>
    <w:rsid w:val="2FBE2364"/>
    <w:rsid w:val="2FD25781"/>
    <w:rsid w:val="2FE85726"/>
    <w:rsid w:val="3076337E"/>
    <w:rsid w:val="312E7E64"/>
    <w:rsid w:val="316226DC"/>
    <w:rsid w:val="31740730"/>
    <w:rsid w:val="31930FE5"/>
    <w:rsid w:val="321F6146"/>
    <w:rsid w:val="32491A0D"/>
    <w:rsid w:val="32AC1B81"/>
    <w:rsid w:val="32B2363B"/>
    <w:rsid w:val="33387117"/>
    <w:rsid w:val="340B70F0"/>
    <w:rsid w:val="346F6E14"/>
    <w:rsid w:val="36116540"/>
    <w:rsid w:val="36273EC1"/>
    <w:rsid w:val="36374201"/>
    <w:rsid w:val="364144FE"/>
    <w:rsid w:val="364E3E27"/>
    <w:rsid w:val="365B56BB"/>
    <w:rsid w:val="3726190B"/>
    <w:rsid w:val="373867FA"/>
    <w:rsid w:val="377F1F9A"/>
    <w:rsid w:val="37F66761"/>
    <w:rsid w:val="38022573"/>
    <w:rsid w:val="380E0584"/>
    <w:rsid w:val="38FC4989"/>
    <w:rsid w:val="397316E7"/>
    <w:rsid w:val="39EE3018"/>
    <w:rsid w:val="3ACB78F1"/>
    <w:rsid w:val="3B142DFB"/>
    <w:rsid w:val="3B266598"/>
    <w:rsid w:val="3B7971F6"/>
    <w:rsid w:val="3BFD733B"/>
    <w:rsid w:val="3C3641D7"/>
    <w:rsid w:val="3C635FA0"/>
    <w:rsid w:val="3CDF336B"/>
    <w:rsid w:val="3CF41895"/>
    <w:rsid w:val="3D6136EA"/>
    <w:rsid w:val="3D8D7FE7"/>
    <w:rsid w:val="3DB633CE"/>
    <w:rsid w:val="3DC52364"/>
    <w:rsid w:val="3E791AB2"/>
    <w:rsid w:val="3FF53C7D"/>
    <w:rsid w:val="408718B0"/>
    <w:rsid w:val="41284F74"/>
    <w:rsid w:val="412D71FD"/>
    <w:rsid w:val="41E44E04"/>
    <w:rsid w:val="41EE1268"/>
    <w:rsid w:val="42CF43AB"/>
    <w:rsid w:val="42EE2BA6"/>
    <w:rsid w:val="42F02361"/>
    <w:rsid w:val="432263B4"/>
    <w:rsid w:val="43D76DDC"/>
    <w:rsid w:val="43D90F6E"/>
    <w:rsid w:val="43F819C7"/>
    <w:rsid w:val="44027C20"/>
    <w:rsid w:val="44146C41"/>
    <w:rsid w:val="4431076F"/>
    <w:rsid w:val="443B57AC"/>
    <w:rsid w:val="448D7804"/>
    <w:rsid w:val="44E05090"/>
    <w:rsid w:val="451F3BFF"/>
    <w:rsid w:val="455E7EDC"/>
    <w:rsid w:val="45847A13"/>
    <w:rsid w:val="458B1CA5"/>
    <w:rsid w:val="45D536C7"/>
    <w:rsid w:val="46CB4054"/>
    <w:rsid w:val="46D22475"/>
    <w:rsid w:val="470E1E21"/>
    <w:rsid w:val="475F6BEF"/>
    <w:rsid w:val="484A350E"/>
    <w:rsid w:val="48E01D1C"/>
    <w:rsid w:val="495E03EC"/>
    <w:rsid w:val="49E4194A"/>
    <w:rsid w:val="49E515CA"/>
    <w:rsid w:val="4A1108C4"/>
    <w:rsid w:val="4A1A65A1"/>
    <w:rsid w:val="4A542F03"/>
    <w:rsid w:val="4AF64C8A"/>
    <w:rsid w:val="4B095EA9"/>
    <w:rsid w:val="4B471C6C"/>
    <w:rsid w:val="4BB61845"/>
    <w:rsid w:val="4BCD146B"/>
    <w:rsid w:val="4BD4104F"/>
    <w:rsid w:val="4BE56B11"/>
    <w:rsid w:val="4CD77F5D"/>
    <w:rsid w:val="4CF335C0"/>
    <w:rsid w:val="4DEC1465"/>
    <w:rsid w:val="4E4740FD"/>
    <w:rsid w:val="4E566916"/>
    <w:rsid w:val="4E730444"/>
    <w:rsid w:val="4E7B1FCD"/>
    <w:rsid w:val="4EB449D9"/>
    <w:rsid w:val="4ED02D5C"/>
    <w:rsid w:val="4EEA241A"/>
    <w:rsid w:val="4F1008F0"/>
    <w:rsid w:val="4F133A3F"/>
    <w:rsid w:val="4F791EF0"/>
    <w:rsid w:val="4FA61ABB"/>
    <w:rsid w:val="4FA871BC"/>
    <w:rsid w:val="4FC000E6"/>
    <w:rsid w:val="501F5F01"/>
    <w:rsid w:val="5026588C"/>
    <w:rsid w:val="50473843"/>
    <w:rsid w:val="505C5D66"/>
    <w:rsid w:val="50E720C7"/>
    <w:rsid w:val="51156ACC"/>
    <w:rsid w:val="514A216C"/>
    <w:rsid w:val="51B43D99"/>
    <w:rsid w:val="521F5647"/>
    <w:rsid w:val="528D5C7B"/>
    <w:rsid w:val="52AA302D"/>
    <w:rsid w:val="52B72BAA"/>
    <w:rsid w:val="52E03507"/>
    <w:rsid w:val="53556033"/>
    <w:rsid w:val="537A0D50"/>
    <w:rsid w:val="53CE790C"/>
    <w:rsid w:val="54327630"/>
    <w:rsid w:val="545C6276"/>
    <w:rsid w:val="549B63C9"/>
    <w:rsid w:val="549D6CE0"/>
    <w:rsid w:val="54B21203"/>
    <w:rsid w:val="551B75AE"/>
    <w:rsid w:val="556E63D7"/>
    <w:rsid w:val="55EF19B9"/>
    <w:rsid w:val="55F31810"/>
    <w:rsid w:val="56443B98"/>
    <w:rsid w:val="56C96374"/>
    <w:rsid w:val="56D51E02"/>
    <w:rsid w:val="56E755A0"/>
    <w:rsid w:val="57514FCF"/>
    <w:rsid w:val="57871058"/>
    <w:rsid w:val="57F03918"/>
    <w:rsid w:val="57F91F65"/>
    <w:rsid w:val="58175C92"/>
    <w:rsid w:val="58200B20"/>
    <w:rsid w:val="588D6F55"/>
    <w:rsid w:val="598A2556"/>
    <w:rsid w:val="5A6E5FFC"/>
    <w:rsid w:val="5A7B6781"/>
    <w:rsid w:val="5B5B0B3C"/>
    <w:rsid w:val="5B64594E"/>
    <w:rsid w:val="5B742467"/>
    <w:rsid w:val="5B7966A3"/>
    <w:rsid w:val="5B9B2CA8"/>
    <w:rsid w:val="5BD844BF"/>
    <w:rsid w:val="5C183C23"/>
    <w:rsid w:val="5CAB020A"/>
    <w:rsid w:val="5CC10BB9"/>
    <w:rsid w:val="5CD171F5"/>
    <w:rsid w:val="5E3D5A5F"/>
    <w:rsid w:val="5E51004B"/>
    <w:rsid w:val="5E5350B8"/>
    <w:rsid w:val="5E766F86"/>
    <w:rsid w:val="5E77028A"/>
    <w:rsid w:val="5F6709DC"/>
    <w:rsid w:val="5F8416C1"/>
    <w:rsid w:val="5FA93813"/>
    <w:rsid w:val="60C06FCE"/>
    <w:rsid w:val="60C55551"/>
    <w:rsid w:val="614F1C31"/>
    <w:rsid w:val="61E459C1"/>
    <w:rsid w:val="61FF1DD5"/>
    <w:rsid w:val="62127771"/>
    <w:rsid w:val="63033C02"/>
    <w:rsid w:val="632772B9"/>
    <w:rsid w:val="637473B8"/>
    <w:rsid w:val="63A47F08"/>
    <w:rsid w:val="64305158"/>
    <w:rsid w:val="64312FEF"/>
    <w:rsid w:val="6444325A"/>
    <w:rsid w:val="64C21053"/>
    <w:rsid w:val="652012EF"/>
    <w:rsid w:val="6536289C"/>
    <w:rsid w:val="65CF57F0"/>
    <w:rsid w:val="65D06F05"/>
    <w:rsid w:val="66014146"/>
    <w:rsid w:val="66277C26"/>
    <w:rsid w:val="66BD5B9B"/>
    <w:rsid w:val="66C14421"/>
    <w:rsid w:val="66C33328"/>
    <w:rsid w:val="66CA7430"/>
    <w:rsid w:val="66FE7B44"/>
    <w:rsid w:val="676B6BA4"/>
    <w:rsid w:val="676B6FB9"/>
    <w:rsid w:val="677C4CD5"/>
    <w:rsid w:val="67976142"/>
    <w:rsid w:val="67A07417"/>
    <w:rsid w:val="687F107F"/>
    <w:rsid w:val="68BE32F8"/>
    <w:rsid w:val="68C77275"/>
    <w:rsid w:val="693B39B1"/>
    <w:rsid w:val="69475245"/>
    <w:rsid w:val="69B05949"/>
    <w:rsid w:val="6A664E41"/>
    <w:rsid w:val="6A894958"/>
    <w:rsid w:val="6AD12B4E"/>
    <w:rsid w:val="6B007E19"/>
    <w:rsid w:val="6B0525B9"/>
    <w:rsid w:val="6B6C2003"/>
    <w:rsid w:val="6B8A4544"/>
    <w:rsid w:val="6BE11867"/>
    <w:rsid w:val="6D6F471B"/>
    <w:rsid w:val="6DB07703"/>
    <w:rsid w:val="6DD30BBC"/>
    <w:rsid w:val="6E2A15CB"/>
    <w:rsid w:val="6E3147D9"/>
    <w:rsid w:val="6EC12DC3"/>
    <w:rsid w:val="6F590441"/>
    <w:rsid w:val="6F77126D"/>
    <w:rsid w:val="701B1D7B"/>
    <w:rsid w:val="70394BAE"/>
    <w:rsid w:val="70D54F03"/>
    <w:rsid w:val="711C51A1"/>
    <w:rsid w:val="71876A4E"/>
    <w:rsid w:val="71A27D9E"/>
    <w:rsid w:val="71B02310"/>
    <w:rsid w:val="72255653"/>
    <w:rsid w:val="72AA6777"/>
    <w:rsid w:val="72AF68AE"/>
    <w:rsid w:val="72B64388"/>
    <w:rsid w:val="734D0939"/>
    <w:rsid w:val="736175D9"/>
    <w:rsid w:val="74B72109"/>
    <w:rsid w:val="752121F5"/>
    <w:rsid w:val="753A255D"/>
    <w:rsid w:val="758F7BEE"/>
    <w:rsid w:val="760807B1"/>
    <w:rsid w:val="767F74F6"/>
    <w:rsid w:val="769B7F52"/>
    <w:rsid w:val="76E13D18"/>
    <w:rsid w:val="772E0594"/>
    <w:rsid w:val="77BA39FB"/>
    <w:rsid w:val="77BE5C84"/>
    <w:rsid w:val="78555DF8"/>
    <w:rsid w:val="785F7EFA"/>
    <w:rsid w:val="79217ACA"/>
    <w:rsid w:val="79EA7513"/>
    <w:rsid w:val="79FC487B"/>
    <w:rsid w:val="7A3F6E68"/>
    <w:rsid w:val="7AA9084B"/>
    <w:rsid w:val="7AE322EF"/>
    <w:rsid w:val="7AF122C4"/>
    <w:rsid w:val="7BDA4600"/>
    <w:rsid w:val="7BDF08C7"/>
    <w:rsid w:val="7BF079AA"/>
    <w:rsid w:val="7BF604ED"/>
    <w:rsid w:val="7C7A0AC6"/>
    <w:rsid w:val="7C8932DF"/>
    <w:rsid w:val="7CBE5D37"/>
    <w:rsid w:val="7CC23CA0"/>
    <w:rsid w:val="7D27319B"/>
    <w:rsid w:val="7D4C0FC7"/>
    <w:rsid w:val="7D8B1ADA"/>
    <w:rsid w:val="7DC43066"/>
    <w:rsid w:val="7DD86484"/>
    <w:rsid w:val="7DDF5E0F"/>
    <w:rsid w:val="7E7A3A8F"/>
    <w:rsid w:val="7EB217BB"/>
    <w:rsid w:val="7EF16F50"/>
    <w:rsid w:val="7F47795F"/>
    <w:rsid w:val="7F7B6EB5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qFormat="1"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</w:pPr>
    <w:rPr>
      <w:rFonts w:ascii="Times New Roman" w:hAnsi="Times New Roman" w:eastAsia="Times New Roman" w:cs="Times New Roman"/>
      <w:color w:val="000000"/>
      <w:sz w:val="24"/>
      <w:szCs w:val="24"/>
      <w:lang w:val="en-US" w:eastAsia="en-US" w:bidi="en-US"/>
    </w:rPr>
  </w:style>
  <w:style w:type="paragraph" w:styleId="4">
    <w:name w:val="heading 2"/>
    <w:basedOn w:val="1"/>
    <w:next w:val="1"/>
    <w:unhideWhenUsed/>
    <w:qFormat/>
    <w:uiPriority w:val="0"/>
    <w:pPr>
      <w:keepNext/>
      <w:keepLines/>
      <w:spacing w:before="260" w:beforeLines="0" w:after="260" w:afterLines="0" w:line="416" w:lineRule="auto"/>
      <w:outlineLvl w:val="1"/>
    </w:pPr>
    <w:rPr>
      <w:rFonts w:hint="default" w:ascii="Cambria" w:hAnsi="Cambria" w:eastAsia="宋体"/>
      <w:b/>
      <w:sz w:val="32"/>
    </w:rPr>
  </w:style>
  <w:style w:type="character" w:default="1" w:styleId="7">
    <w:name w:val="Default Paragraph Font"/>
    <w:unhideWhenUsed/>
    <w:qFormat/>
    <w:uiPriority w:val="1"/>
  </w:style>
  <w:style w:type="table" w:default="1" w:styleId="8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next w:val="3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index 5"/>
    <w:basedOn w:val="1"/>
    <w:next w:val="1"/>
    <w:qFormat/>
    <w:uiPriority w:val="0"/>
    <w:pPr>
      <w:ind w:left="1680"/>
    </w:pPr>
  </w:style>
  <w:style w:type="paragraph" w:styleId="5">
    <w:name w:val="annotation text"/>
    <w:basedOn w:val="1"/>
    <w:qFormat/>
    <w:uiPriority w:val="0"/>
  </w:style>
  <w:style w:type="paragraph" w:styleId="6">
    <w:name w:val="Normal (Web)"/>
    <w:basedOn w:val="1"/>
    <w:qFormat/>
    <w:uiPriority w:val="99"/>
    <w:pPr>
      <w:spacing w:beforeAutospacing="1" w:afterAutospacing="1"/>
    </w:pPr>
  </w:style>
  <w:style w:type="paragraph" w:customStyle="1" w:styleId="9">
    <w:name w:val="Body text|1"/>
    <w:basedOn w:val="1"/>
    <w:qFormat/>
    <w:uiPriority w:val="0"/>
    <w:pPr>
      <w:spacing w:line="415" w:lineRule="auto"/>
      <w:ind w:firstLine="400"/>
    </w:pPr>
    <w:rPr>
      <w:rFonts w:ascii="宋体" w:hAnsi="宋体" w:eastAsia="宋体" w:cs="宋体"/>
      <w:sz w:val="30"/>
      <w:szCs w:val="30"/>
      <w:lang w:val="zh-TW" w:eastAsia="zh-TW" w:bidi="zh-TW"/>
    </w:rPr>
  </w:style>
  <w:style w:type="paragraph" w:customStyle="1" w:styleId="10">
    <w:name w:val="Header or footer|2"/>
    <w:basedOn w:val="1"/>
    <w:qFormat/>
    <w:uiPriority w:val="0"/>
    <w:rPr>
      <w:sz w:val="20"/>
      <w:szCs w:val="20"/>
      <w:lang w:val="zh-TW" w:eastAsia="zh-TW" w:bidi="zh-TW"/>
    </w:rPr>
  </w:style>
  <w:style w:type="paragraph" w:customStyle="1" w:styleId="11">
    <w:name w:val="04正文"/>
    <w:basedOn w:val="1"/>
    <w:qFormat/>
    <w:uiPriority w:val="0"/>
    <w:pPr>
      <w:keepNext w:val="0"/>
      <w:keepLines w:val="0"/>
      <w:widowControl/>
      <w:adjustRightInd w:val="0"/>
      <w:snapToGrid w:val="0"/>
      <w:spacing w:before="0" w:after="0" w:line="360" w:lineRule="auto"/>
      <w:ind w:firstLine="200" w:firstLineChars="200"/>
      <w:jc w:val="both"/>
      <w:outlineLvl w:val="9"/>
    </w:pPr>
    <w:rPr>
      <w:rFonts w:ascii="Times New Roman" w:hAnsi="Times New Roman" w:eastAsia="仿宋" w:cs="Times New Roman"/>
      <w:color w:val="auto"/>
      <w:kern w:val="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14</Pages>
  <Words>1205</Words>
  <Characters>6873</Characters>
  <Lines>57</Lines>
  <Paragraphs>16</Paragraphs>
  <ScaleCrop>false</ScaleCrop>
  <LinksUpToDate>false</LinksUpToDate>
  <CharactersWithSpaces>8062</CharactersWithSpaces>
  <Application>WPS Office_10.1.0.5458_F1E327BC-269C-435d-A152-05C5408002CA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2021-05-14T02:03:00Z</dcterms:created>
  <dc:creator>糖糖</dc:creator>
  <cp:lastModifiedBy>lenovo</cp:lastModifiedBy>
  <cp:lastPrinted>2022-04-01T01:34:00Z</cp:lastPrinted>
  <dcterms:modified xsi:type="dcterms:W3CDTF">2023-10-30T07:08:42Z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2052-10.1.0.5458</vt:lpwstr>
  </property>
  <property fmtid="{D5CDD505-2E9C-101B-9397-08002B2CF9AE}" pid="3" name="ICV">
    <vt:lpwstr>1EE1E93C59AA445184499DB0ABD9B651</vt:lpwstr>
  </property>
</Properties>
</file>