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color w:val="FF0000"/>
          <w:sz w:val="109"/>
        </w:rPr>
      </w:pPr>
      <w:bookmarkStart w:id="0" w:name="_GoBack"/>
      <w:bookmarkEnd w:id="0"/>
      <w:r>
        <w:rPr>
          <w:rFonts w:hint="eastAsia" w:ascii="方正小标宋_GBK" w:eastAsia="方正小标宋_GBK"/>
          <w:color w:val="FF0000"/>
          <w:spacing w:val="115"/>
          <w:w w:val="50"/>
          <w:kern w:val="0"/>
          <w:sz w:val="109"/>
        </w:rPr>
        <w:t>衡</w:t>
      </w:r>
      <w:r>
        <w:rPr>
          <w:rFonts w:hint="eastAsia" w:ascii="方正小标宋_GBK" w:eastAsia="方正小标宋_GBK"/>
          <w:color w:val="FF0000"/>
          <w:w w:val="50"/>
          <w:kern w:val="0"/>
          <w:sz w:val="109"/>
        </w:rPr>
        <w:t>阳 县 三 湖 镇 人 民 政 府</w:t>
      </w:r>
    </w:p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8255</wp:posOffset>
                </wp:positionV>
                <wp:extent cx="5257800" cy="0"/>
                <wp:effectExtent l="0" t="13970" r="0" b="2413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57800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.65pt;margin-top:0.65pt;height:0pt;width:414pt;z-index:251659264;mso-width-relative:page;mso-height-relative:page;" filled="f" stroked="t" coordsize="21600,21600" o:gfxdata="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Y2IsV0QAAAAUB&#10;AAAPAAAAAAAAAAEAIAAAACIAAABkcnMvZG93bnJldi54bWxQSwECFAAUAAAACACHTuJAacQy0ekB&#10;AADcAwAADgAAAAAAAAABACAAAAAgAQAAZHJzL2Uyb0RvYy54bWxQSwUGAAAAAAYABgBZAQAAewUA&#10;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部门整体支出绩效自评报告</w:t>
      </w: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一、部门、单位基本情况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（一）机构设置情况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根据编委核定，我镇内设机构5个，分别为镇机关、政务服务中心、农业综合服务中心、社会事业综合服务中心、综合执法大队，全部纳入2022年部门预算编制范围。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人员编制情况</w:t>
      </w:r>
    </w:p>
    <w:p>
      <w:pPr>
        <w:spacing w:line="360" w:lineRule="auto"/>
        <w:ind w:firstLine="640" w:firstLineChars="200"/>
        <w:rPr>
          <w:rFonts w:ascii="楷体_GB2312" w:eastAsia="楷体_GB2312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我镇核定编制101名，实有在职干部职工74人，离退休人员36人。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主要职能职责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2"/>
          <w:sz w:val="32"/>
          <w:szCs w:val="32"/>
        </w:rPr>
        <w:t>（</w:t>
      </w: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1）贯彻执行党的路线、方针、政策。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（2）抓好本镇党建工作、扶贫工作、精神文明建设工作、新闻宣传工作。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（3）执行本级党代会、人民代表大会的决议和上级党委、政府的决定和命令。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（4）制定和组织实施经济、科技和社会发展计划，制定产业结构调整方案，组织经济运行，促进经济发展。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（5）制定并组织实施村镇建设规划，部署重点工程建设，地方道路建设及公共设施，水利设施的管理，负责土地、林木、水等自然资源和生态环境的保护，做好护林防火工作。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（6）负责本行政区域内的民政、教育、文化、体育、卫生和计划生育等社会公益事业的综合性工作，调解和处理民事纠纷，扫黑除恶，打击犯罪，维护社会稳定。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（7）按计划组织本级财政收入，不断培植财源，管好财政资金，增强财政实力。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00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（8）抓好精神文明建设，丰富群众文化生活，推动移风易俗，树立文明镇风。</w:t>
      </w:r>
    </w:p>
    <w:p>
      <w:pPr>
        <w:pStyle w:val="2"/>
        <w:widowControl/>
        <w:shd w:val="clear" w:color="auto" w:fill="FFFFFF"/>
        <w:spacing w:beforeAutospacing="0" w:afterAutospacing="0" w:line="480" w:lineRule="atLeast"/>
        <w:ind w:firstLine="645"/>
        <w:rPr>
          <w:rFonts w:ascii="仿宋_GB2312" w:hAnsi="Times New Roman" w:eastAsia="仿宋_GB2312"/>
          <w:color w:val="000000"/>
          <w:kern w:val="2"/>
          <w:sz w:val="32"/>
          <w:szCs w:val="32"/>
        </w:rPr>
      </w:pPr>
      <w:r>
        <w:rPr>
          <w:rFonts w:ascii="仿宋_GB2312" w:hAnsi="Times New Roman" w:eastAsia="仿宋_GB2312"/>
          <w:color w:val="000000"/>
          <w:kern w:val="2"/>
          <w:sz w:val="32"/>
          <w:szCs w:val="32"/>
        </w:rPr>
        <w:t>（9）完成上级党委、政府交办的其它事项。 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（四）绩效目标设定情况</w:t>
      </w:r>
    </w:p>
    <w:p>
      <w:pPr>
        <w:pStyle w:val="5"/>
        <w:widowControl/>
        <w:spacing w:line="600" w:lineRule="exact"/>
        <w:ind w:firstLine="48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微软雅黑" w:hAnsi="微软雅黑" w:cs="宋体"/>
          <w:kern w:val="0"/>
          <w:sz w:val="24"/>
        </w:rPr>
        <w:t xml:space="preserve"> </w:t>
      </w:r>
      <w:r>
        <w:rPr>
          <w:rFonts w:hint="eastAsia" w:ascii="仿宋_GB2312" w:eastAsia="仿宋_GB2312"/>
          <w:color w:val="000000"/>
          <w:sz w:val="32"/>
          <w:szCs w:val="32"/>
        </w:rPr>
        <w:t>年初设定目标：目标1：奋力冲刺重点项目攻坚，促进乡镇经济发展；目标2：完善基础设施建设与惠民项目资金的管理，道路修扩建、硬化工程、安全饮水工程等验收合格率达90%；目标3："两卡两折"补贴发放及时率达100%，坚守民生保障底线；目标4：加强社会管理，维护社会稳定，妥善处理突发性、群体性事件，调节和处理好各种利益矛盾和纠分；目标5：灾害防治、安全生产、森林防火实现"零发生"，人民生活水平不断提高，社会公众满意程度普遍提升；目标6：扶持对村级集体经济组织发展，决胜脱贫攻坚；</w:t>
      </w:r>
    </w:p>
    <w:p>
      <w:pPr>
        <w:widowControl/>
        <w:ind w:firstLine="640" w:firstLineChars="200"/>
        <w:jc w:val="left"/>
        <w:textAlignment w:val="center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全年实际完成情况：</w:t>
      </w:r>
      <w:r>
        <w:rPr>
          <w:rFonts w:hint="eastAsia" w:ascii="仿宋_GB2312" w:eastAsia="仿宋_GB2312"/>
          <w:color w:val="000000"/>
          <w:sz w:val="32"/>
          <w:szCs w:val="32"/>
        </w:rPr>
        <w:t>1、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大力发展优质稻、双季稻比上年新增约1000亩种植；2、</w:t>
      </w:r>
      <w:r>
        <w:rPr>
          <w:rFonts w:hint="eastAsia" w:ascii="仿宋_GB2312" w:eastAsia="仿宋_GB2312"/>
          <w:color w:val="000000"/>
          <w:sz w:val="32"/>
          <w:szCs w:val="32"/>
        </w:rPr>
        <w:t>完善了基础设施建设与惠民项目资金的管理，道路修扩建、硬化工程、安全饮水工程等验收合格率达90%；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3、基本民生得到保障，落实惠农资金补助、民政资金、农民资金“一卡通</w:t>
      </w:r>
      <w:r>
        <w:rPr>
          <w:rFonts w:ascii="仿宋_GB2312" w:hAnsi="Times New Roman" w:eastAsia="仿宋_GB2312"/>
          <w:color w:val="000000"/>
          <w:sz w:val="32"/>
          <w:szCs w:val="32"/>
        </w:rPr>
        <w:t>”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100%发放；4、</w:t>
      </w:r>
      <w:r>
        <w:rPr>
          <w:rFonts w:hint="eastAsia" w:ascii="仿宋_GB2312" w:eastAsia="仿宋_GB2312"/>
          <w:color w:val="000000"/>
          <w:sz w:val="32"/>
          <w:szCs w:val="32"/>
        </w:rPr>
        <w:t>社会管理稳定，调节和处理好了各种利益矛盾和纠分；5：灾害防治、安全生产、森林防火实现"零发生"，人民生活水平不断提高，社会公众满意程度普遍提升；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6、</w:t>
      </w:r>
      <w:r>
        <w:rPr>
          <w:rFonts w:hint="eastAsia" w:ascii="仿宋_GB2312" w:eastAsia="仿宋_GB2312"/>
          <w:color w:val="000000"/>
          <w:sz w:val="32"/>
          <w:szCs w:val="32"/>
        </w:rPr>
        <w:t>扶持对新建村级集体经济组织发展，且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无返贫现象发生；</w:t>
      </w: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二、一般公共预算支出情况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楷体_GB2312" w:hAnsi="楷体" w:eastAsia="楷体_GB2312" w:cs="楷体"/>
          <w:sz w:val="32"/>
          <w:szCs w:val="32"/>
        </w:rPr>
      </w:pPr>
      <w:r>
        <w:rPr>
          <w:rFonts w:hint="eastAsia" w:ascii="楷体_GB2312" w:hAnsi="楷体" w:eastAsia="楷体_GB2312" w:cs="楷体"/>
          <w:sz w:val="32"/>
          <w:szCs w:val="32"/>
        </w:rPr>
        <w:t>（一）部门收支预决算情况</w:t>
      </w:r>
    </w:p>
    <w:p>
      <w:pPr>
        <w:pStyle w:val="5"/>
        <w:widowControl/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1、预算收入情况。</w:t>
      </w:r>
    </w:p>
    <w:p>
      <w:pPr>
        <w:pStyle w:val="5"/>
        <w:widowControl/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全年本单位预算收入1944.23万元，其中本级财政拨款（补助）1275.5万元、上年结转668.73。预算总支出1944.23万元，收支平衡。</w:t>
      </w:r>
    </w:p>
    <w:p>
      <w:pPr>
        <w:pStyle w:val="5"/>
        <w:widowControl/>
        <w:numPr>
          <w:ilvl w:val="0"/>
          <w:numId w:val="2"/>
        </w:numPr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预算支出情况。</w:t>
      </w:r>
    </w:p>
    <w:p>
      <w:pPr>
        <w:pStyle w:val="5"/>
        <w:widowControl/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全年预算总支出1944.23万元。基本支出693.2万元，其中工资福利支出635.75万元；一般商品和服务支出46.7万元；对个人和家庭补助的支出10.76万元。项目支出1251.03万元。</w:t>
      </w:r>
    </w:p>
    <w:p>
      <w:pPr>
        <w:pStyle w:val="5"/>
        <w:widowControl/>
        <w:tabs>
          <w:tab w:val="left" w:pos="308"/>
        </w:tabs>
        <w:spacing w:line="600" w:lineRule="exact"/>
        <w:ind w:firstLine="320" w:firstLineChars="1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ab/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 3、决算收入情况。</w:t>
      </w:r>
    </w:p>
    <w:p>
      <w:pPr>
        <w:pStyle w:val="5"/>
        <w:widowControl/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全年完成财政总收入4635.29万元，其中一般公共预算财政拨款收入2015.34万元，政府性基金预算财政拨款14万元，其他收入2605.95万元。</w:t>
      </w:r>
    </w:p>
    <w:p>
      <w:pPr>
        <w:pStyle w:val="5"/>
        <w:widowControl/>
        <w:spacing w:line="600" w:lineRule="exact"/>
        <w:ind w:left="420" w:leftChars="200" w:firstLine="0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4、决算支出情况。</w:t>
      </w:r>
    </w:p>
    <w:p>
      <w:pPr>
        <w:pStyle w:val="5"/>
        <w:widowControl/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完成财政总支出4635.29万元,其中基本支出4402.29万元，项目支出233万元。本单位年末无结转和结余资金。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楷体_GB2312" w:hAnsi="楷体" w:eastAsia="楷体_GB2312" w:cs="楷体"/>
          <w:sz w:val="32"/>
          <w:szCs w:val="32"/>
        </w:rPr>
        <w:t>（二）部门预算执行情况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1.基本支出情况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基本支出为保障单位机构正常运转、完成日常工作任务而发生的各项支出，包括用于基本工资、津贴补贴等人员经费以及办公费、印刷费、水电费、工会经费等日常公用经费。</w:t>
      </w:r>
    </w:p>
    <w:p>
      <w:pPr>
        <w:pStyle w:val="5"/>
        <w:widowControl/>
        <w:spacing w:line="60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2022年决算完成一般公共预算支出2029.34万元,其中一般公共服务支出445.2万元，教育支出100万元，文化旅游体育与传媒支出19万元，社会保障和就业支出140.45万元，卫生健康支出36.67万元，城乡社区支出148万元，农林水支出956.1万元，交通运输支出8万元，住房保障支出120.46万元。2022年年末结转和结余情况：本单位年末无结转和结余资金。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2.项目支出情况</w:t>
      </w:r>
      <w:r>
        <w:rPr>
          <w:rFonts w:hint="eastAsia" w:ascii="仿宋_GB2312" w:eastAsia="仿宋_GB2312"/>
          <w:sz w:val="32"/>
          <w:szCs w:val="32"/>
        </w:rPr>
        <w:tab/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无。</w:t>
      </w:r>
    </w:p>
    <w:p>
      <w:pPr>
        <w:pStyle w:val="5"/>
        <w:widowControl/>
        <w:spacing w:line="600" w:lineRule="exact"/>
        <w:ind w:firstLine="64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（三）“三公”经费使用和管理情况</w:t>
      </w:r>
    </w:p>
    <w:p>
      <w:pPr>
        <w:spacing w:line="600" w:lineRule="exact"/>
        <w:ind w:firstLine="640" w:firstLineChars="20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2022年初批复预算的“三公”经费为15.93万元，其中：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公务接待13.85万元，因公出国费用0万元，公务用车2.08万元。全年决算支出“三公”经费11.93万元，其中：公务接待9.98万元，因公出国费用0万元，公务用车1.95万元。同比2022年初批复预算的“三公”经费减少3万，压缩比例18%，其中：公务接待费9.98万元、减3.8万元，压缩18%，严格遵循国家厉行节约的原则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资金结转和结余情况</w:t>
      </w:r>
    </w:p>
    <w:p>
      <w:pPr>
        <w:pStyle w:val="5"/>
        <w:widowControl/>
        <w:spacing w:line="600" w:lineRule="exact"/>
        <w:ind w:left="640" w:firstLine="0" w:firstLineChars="0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2022年度本单位年末无结转和结余资金。</w:t>
      </w:r>
    </w:p>
    <w:p>
      <w:pPr>
        <w:pStyle w:val="5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部门整体支出管理与制度建设情况</w:t>
      </w:r>
    </w:p>
    <w:p>
      <w:pPr>
        <w:pStyle w:val="5"/>
        <w:widowControl/>
        <w:spacing w:line="600" w:lineRule="exact"/>
        <w:ind w:firstLine="64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</w:t>
      </w:r>
      <w:r>
        <w:rPr>
          <w:rFonts w:ascii="仿宋_GB2312" w:eastAsia="仿宋_GB2312"/>
          <w:color w:val="000000"/>
          <w:sz w:val="32"/>
          <w:szCs w:val="32"/>
        </w:rPr>
        <w:t>贯彻执行党的路线、方针、政策</w:t>
      </w:r>
      <w:r>
        <w:rPr>
          <w:rFonts w:hint="eastAsia" w:ascii="仿宋_GB2312" w:eastAsia="仿宋_GB2312"/>
          <w:color w:val="000000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做好全镇日常管理和服务工作，制订了资金财务管理制度、政府采购内控制度等，对资金管理、收入管理、支出管理、资产与负债管理、财务报告和监督检查等都作了明确规定，进一步规范了资金的管理。</w:t>
      </w:r>
    </w:p>
    <w:p>
      <w:pPr>
        <w:pStyle w:val="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三、政府性基金预算支出情况</w:t>
      </w:r>
    </w:p>
    <w:p>
      <w:pPr>
        <w:pStyle w:val="5"/>
        <w:widowControl/>
        <w:spacing w:line="600" w:lineRule="exact"/>
        <w:ind w:firstLine="64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2022年度年初政府基金预算数14万元，政府基金预算支出决算数14万元。</w:t>
      </w:r>
    </w:p>
    <w:p>
      <w:pPr>
        <w:pStyle w:val="5"/>
        <w:widowControl/>
        <w:numPr>
          <w:ilvl w:val="0"/>
          <w:numId w:val="3"/>
        </w:numPr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国有资本经营预算支出情况</w:t>
      </w: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ascii="仿宋" w:hAnsi="仿宋" w:eastAsia="仿宋"/>
          <w:bCs/>
          <w:color w:val="383838"/>
          <w:sz w:val="32"/>
          <w:shd w:val="clear" w:color="auto" w:fill="FFFFFF"/>
        </w:rPr>
        <w:t>无。</w:t>
      </w:r>
    </w:p>
    <w:p>
      <w:pPr>
        <w:pStyle w:val="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五、社会保险基金预算支出情况</w:t>
      </w:r>
    </w:p>
    <w:p>
      <w:pPr>
        <w:pStyle w:val="5"/>
        <w:widowControl/>
        <w:spacing w:line="600" w:lineRule="exact"/>
        <w:ind w:left="640" w:firstLine="0" w:firstLineChars="0"/>
        <w:rPr>
          <w:rFonts w:eastAsia="黑体"/>
          <w:sz w:val="32"/>
          <w:szCs w:val="32"/>
        </w:rPr>
      </w:pPr>
      <w:r>
        <w:rPr>
          <w:rFonts w:hint="eastAsia" w:ascii="仿宋" w:hAnsi="仿宋" w:eastAsia="仿宋"/>
          <w:bCs/>
          <w:color w:val="383838"/>
          <w:sz w:val="32"/>
          <w:shd w:val="clear" w:color="auto" w:fill="FFFFFF"/>
        </w:rPr>
        <w:t>无。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六、部门整体支出绩效情况</w:t>
      </w:r>
    </w:p>
    <w:p>
      <w:pPr>
        <w:widowControl/>
        <w:spacing w:line="600" w:lineRule="exact"/>
        <w:ind w:firstLine="645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（一）综合评价结论。</w:t>
      </w:r>
    </w:p>
    <w:p>
      <w:pPr>
        <w:widowControl/>
        <w:spacing w:line="600" w:lineRule="exact"/>
        <w:ind w:firstLine="645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我单位积极履职，强化管理，较好的完成了年度工作目标。通过加强预算收支管理，不断建立健全内部管理制度，梳理内部管理流程，部门整体支出管理水平得到提升。根据部门整体支出绩效评价指标体系，2022年部门整体支出绩效评价自查得93分，自评结果为良好。</w:t>
      </w:r>
    </w:p>
    <w:p>
      <w:pPr>
        <w:spacing w:line="360" w:lineRule="auto"/>
        <w:ind w:firstLine="640" w:firstLineChars="200"/>
        <w:rPr>
          <w:rFonts w:ascii="楷体_GB2312" w:hAnsi="楷体" w:eastAsia="楷体_GB2312" w:cs="楷体"/>
          <w:bCs/>
          <w:sz w:val="32"/>
          <w:szCs w:val="32"/>
        </w:rPr>
      </w:pPr>
      <w:r>
        <w:rPr>
          <w:rFonts w:hint="eastAsia" w:ascii="楷体_GB2312" w:hAnsi="楷体" w:eastAsia="楷体_GB2312" w:cs="楷体"/>
          <w:bCs/>
          <w:sz w:val="32"/>
          <w:szCs w:val="32"/>
        </w:rPr>
        <w:t>（二）评价指标分析。</w:t>
      </w:r>
    </w:p>
    <w:p>
      <w:pPr>
        <w:widowControl/>
        <w:spacing w:line="600" w:lineRule="exact"/>
        <w:ind w:firstLine="645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1、整体绩效目标设定。年初设定整体绩效目标，并已完成。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2、预算执行：</w:t>
      </w:r>
      <w:r>
        <w:rPr>
          <w:rFonts w:hint="eastAsia" w:ascii="仿宋_GB2312" w:hAnsi="仿宋_GB2312" w:eastAsia="仿宋_GB2312" w:cs="仿宋_GB2312"/>
          <w:sz w:val="32"/>
          <w:szCs w:val="32"/>
        </w:rPr>
        <w:t>支出总额控制在预算总额内，</w:t>
      </w:r>
      <w:r>
        <w:rPr>
          <w:rFonts w:hint="eastAsia" w:ascii="仿宋" w:hAnsi="仿宋" w:eastAsia="仿宋" w:cs="仿宋"/>
          <w:bCs/>
          <w:sz w:val="32"/>
          <w:szCs w:val="32"/>
        </w:rPr>
        <w:t>预算信息公开率100%，明细到各项具体量化指标，</w:t>
      </w:r>
      <w:r>
        <w:rPr>
          <w:rFonts w:hint="eastAsia" w:ascii="仿宋" w:hAnsi="仿宋" w:eastAsia="仿宋" w:cs="仿宋"/>
          <w:sz w:val="32"/>
          <w:szCs w:val="32"/>
        </w:rPr>
        <w:t>预算各项执行的比较好，</w:t>
      </w:r>
      <w:r>
        <w:rPr>
          <w:rFonts w:hint="eastAsia" w:ascii="仿宋" w:hAnsi="仿宋" w:eastAsia="仿宋" w:cs="仿宋"/>
          <w:bCs/>
          <w:sz w:val="32"/>
          <w:szCs w:val="32"/>
        </w:rPr>
        <w:t>得8分。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3、预算管理。资金各项制度已制定，需根据实际情况进行完善。资金使用合法合规，严格按照审批程序和手续拨付资金，预决算及时有效公开。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4、资产管理。资产管理制度健全，专人负责资产管理和统计，资产保存完整，配置合理，不铺张浪费，固定资产使用率高。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5、职责履行。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我镇积极认真履行各项职责，完成了2022年度各项工作任务。全面落实粮食生产战略村居数19个，双季稻种植亩数在21年的基础上增加1000亩，重点项目建设小区外配套工程及时完工验收，工资及政策性社会保障性资金按月支付次数为满值，惠民惠农补贴对象发放情况为100%。</w:t>
      </w:r>
      <w:r>
        <w:rPr>
          <w:rFonts w:hint="eastAsia" w:ascii="仿宋" w:hAnsi="仿宋" w:eastAsia="仿宋" w:cs="仿宋"/>
          <w:bCs/>
          <w:sz w:val="32"/>
          <w:szCs w:val="32"/>
        </w:rPr>
        <w:t>但对各村的灾害防治、森林防火、安全生产知识培训合格率未达到期初目标，原因是对各村的各项工作培训频率偏低；村部对重点项目的细节没有做到位，因此共扣2分，得48分。</w:t>
      </w:r>
    </w:p>
    <w:tbl>
      <w:tblPr>
        <w:tblStyle w:val="3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960"/>
        <w:gridCol w:w="1119"/>
        <w:gridCol w:w="2878"/>
        <w:gridCol w:w="1621"/>
        <w:gridCol w:w="1447"/>
        <w:gridCol w:w="895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三级指标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1、重点项目建设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≧1个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2、落实粮食生产战略村居数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19个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3、扶持村级集体经济发展，巩固脱贫攻坚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1、发展双季稻，在去年的基础上增加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2、杜绝返贫现象，乡村振兴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3、重点项目建设完成率(小区外配套工程)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时效指标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1、双季稻种植及时率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016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2、扶持村级集体经济发展，民政补助、残疾补助等各类补贴发放及时率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准时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准时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3、重点项目建设完工速率(小区外配套工程)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成本指标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1、基本支出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2、双季稻补贴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3、设备、防护、培训等经费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</w:tbl>
    <w:p>
      <w:pPr>
        <w:widowControl/>
        <w:spacing w:line="600" w:lineRule="exact"/>
        <w:rPr>
          <w:rFonts w:ascii="仿宋" w:hAnsi="仿宋" w:eastAsia="仿宋" w:cs="仿宋"/>
          <w:bCs/>
          <w:sz w:val="32"/>
          <w:szCs w:val="32"/>
        </w:rPr>
      </w:pPr>
    </w:p>
    <w:p>
      <w:pPr>
        <w:numPr>
          <w:ilvl w:val="0"/>
          <w:numId w:val="4"/>
        </w:num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>履职效益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在组织执行预算支出时，坚持硬化预算约束、严控行政成本、加快支出进度和加强预算管理的要求，严格按预算批复执行支出，支出没有超过规定范畴和数量，整体经济效应较好。</w:t>
      </w:r>
    </w:p>
    <w:tbl>
      <w:tblPr>
        <w:tblStyle w:val="3"/>
        <w:tblpPr w:leftFromText="180" w:rightFromText="180" w:vertAnchor="text" w:horzAnchor="page" w:tblpX="1078" w:tblpY="608"/>
        <w:tblOverlap w:val="never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900"/>
        <w:gridCol w:w="1050"/>
        <w:gridCol w:w="2700"/>
        <w:gridCol w:w="1521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67" w:hRule="exact"/>
        </w:trPr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三级指标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粮食产量提升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50斤每亩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大于50斤每亩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44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农民增收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≧1000元/人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大于1000元/人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74" w:hRule="exact"/>
        </w:trPr>
        <w:tc>
          <w:tcPr>
            <w:tcW w:w="900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村民出行效率、道路、饮水安全提高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57" w:hRule="exact"/>
        </w:trPr>
        <w:tc>
          <w:tcPr>
            <w:tcW w:w="900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农户劳动获得感增强，生活水平提高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有所增强、有所提高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有所增强、有所提高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900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以新农村建设为重点，推进生态建设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89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开展群众性爱国卫生活动，美化环境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732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政府服务职能增强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有所增强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有所增强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68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坚持统筹城乡发展，稳步发展战略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稳步提高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稳步提高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144" w:hRule="exact"/>
        </w:trPr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（10分）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政府工作作风建设，社区、村组群众对政府职能达成满意度有所提高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018" w:hRule="exact"/>
        </w:trPr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通过各项工作开展，群众生活满意度较去年有所提高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经济效益：粮食产量与农民增收达到目标，分值10分，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得分10分；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社会效益：村民出行效率、道路、饮水安全有所提高，农户劳动获得感增强，生活水平有所提高，认同度较高，分值8分，得分6分;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生态效益指标：我镇以新农村建设为重点，推进生态建设，开展群众性爱国卫生活动，美化环境，提升我镇居民凝聚力，幸福感，分值6分，得分5分；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可持续影响。支出完成后，后续政策仍保持连贯性，政府服务职能增强，坚持统筹城乡发展，稳步发展战略,分值6分，得分6分;</w:t>
      </w:r>
    </w:p>
    <w:p>
      <w:pPr>
        <w:spacing w:line="60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社会满意度：在年度绩效考核中，全体干部职工满意率达90%，社会群众满意度达90%，达到预期目标，得10分。     综上，衡阳县三湖镇人民政府较好的完成了职责履行和履职效益情况，得分37分。</w:t>
      </w:r>
    </w:p>
    <w:p>
      <w:pPr>
        <w:pStyle w:val="5"/>
        <w:widowControl/>
        <w:spacing w:line="600" w:lineRule="exact"/>
        <w:ind w:left="640" w:firstLine="0" w:firstLineChars="0"/>
        <w:jc w:val="left"/>
        <w:rPr>
          <w:rFonts w:eastAsia="黑体"/>
          <w:sz w:val="32"/>
          <w:szCs w:val="32"/>
        </w:rPr>
      </w:pPr>
      <w:r>
        <w:rPr>
          <w:rFonts w:hint="eastAsia" w:eastAsia="黑体"/>
          <w:sz w:val="32"/>
          <w:szCs w:val="32"/>
        </w:rPr>
        <w:t>七、存在的问题及原因分析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在看到成绩的同时，我们也清醒地意识到，在与人民群众的要求相比，还存在一些不足和问题，主要体现在以下几个方面：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1、镇域经济特别是商贸发展滞后，市场人气不旺，村级集体经济收入短缺。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2、农村基础设施建设有待加强，农村人居环境整治进展不平衡。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3、对各村的灾害防治、森林防火、安全生产知识培训合格率未达到期初目标，少数镇村干部履职不力，作风欠实，工作闯劲干劲不足。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4、财务管理欠规范，制度执行不力，业务人员不足导致财政工作相对滞后。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八、下一步改进措施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针对以上存在的问题，应把握以下重点：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 xml:space="preserve"> 1、聚力“三农”服务，夯实农业基础。持续“压单扩双”扩大优质稻、双季稻种植面积，大力调整优化产业结构，积极倡导多种经营，引导农民走产业化、规模化、市场化的发展路子，促进农业增效，农民增收，农村经济稳步发展。大力发展优势特色，突出推进稻米、油茶、蔬果等产业品种改良、品质提升、品牌创建。大力发展生态畜牧水产健康养殖，着力培育一大批农业大户，充分发挥他们的辐射带动作用，引导广大农民加快农业发展步伐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2、聚力乡村振兴，拓展发展新空间。落实好水、电、路、厕等基础设施改造整村推进工程，切实改变农村基础设施落后问题，实施“碧水青山蓝天”工程，深入开展农村环境综合整治，大力建设“美丽乡村、幸福家园”，优化人居环境，抓好污水处理厂建设，抓好“三边”绿化，加强生态环境保护，巩固退耕还林和河库长制改革成果，加大封山育林、荒山造林力度，加强水源地保护，打造生态秀美、美丽宜居乡村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3、聚力项目建设，厚植发展新潜力。保障促进我镇发展的重点项目落实基地，加快推进枫坳公路提质改造、政府公租房、集镇污水处理设施、垃圾中转站等项目建设，依托三湖“衡阳粮仓”的独特优势，筑巢引凤，极力优化营商环境，加大招商引资力度，厚植发展浩力，努力实现三湖“宜居、宜业、宜游”的新突破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4、加强基层组织建设，打牢执政基础。以党建工作为引领，狠抓制度建设，夯实工作作风，强化干部管理，确保农村基层组织工作制度更加完善，村务、财务管理科学民主、规范有序，形成齐抓共管、整体推进、群众满意的良好工作运行机制。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5、严格财政纪律，规范财务管理。明确业务人员岗位职责，做到一人一岗，一岗多责。同时，提高财务人员的业务能力，注重相关业务知识的积累与学习，确保财务工作的及时性和规范性。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九、其他需要说明的情况</w:t>
      </w:r>
    </w:p>
    <w:p>
      <w:pPr>
        <w:widowControl/>
        <w:spacing w:line="600" w:lineRule="exact"/>
        <w:ind w:firstLine="645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无。</w:t>
      </w:r>
    </w:p>
    <w:p>
      <w:pPr>
        <w:widowControl/>
        <w:spacing w:line="600" w:lineRule="exact"/>
        <w:jc w:val="left"/>
        <w:rPr>
          <w:rFonts w:ascii="Times New Roman" w:hAnsi="Times New Roman" w:eastAsia="仿宋_GB2312"/>
          <w:sz w:val="32"/>
          <w:szCs w:val="32"/>
        </w:rPr>
      </w:pP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报告应包括以下附件：</w:t>
      </w:r>
    </w:p>
    <w:p>
      <w:pPr>
        <w:widowControl/>
        <w:spacing w:line="600" w:lineRule="exact"/>
        <w:ind w:firstLine="645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1.部门整体支出绩效评价基础数据表</w:t>
      </w:r>
    </w:p>
    <w:p>
      <w:pPr>
        <w:widowControl/>
        <w:spacing w:line="600" w:lineRule="exact"/>
        <w:ind w:firstLine="640" w:firstLineChars="200"/>
        <w:jc w:val="left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2.部门整体支出绩效自评表</w:t>
      </w:r>
    </w:p>
    <w:p>
      <w:r>
        <w:br w:type="page"/>
      </w:r>
    </w:p>
    <w:p>
      <w:pPr>
        <w:widowControl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附件1-1      </w:t>
      </w:r>
    </w:p>
    <w:p>
      <w:pPr>
        <w:widowControl/>
        <w:jc w:val="center"/>
        <w:rPr>
          <w:rFonts w:ascii="Times New Roman" w:hAnsi="Times New Roman" w:eastAsia="仿宋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ascii="Times New Roman" w:hAnsi="Times New Roman" w:eastAsia="仿宋_GB2312"/>
          <w:kern w:val="0"/>
          <w:sz w:val="24"/>
        </w:rPr>
      </w:pPr>
      <w:r>
        <w:rPr>
          <w:rFonts w:hint="eastAsia" w:ascii="Times New Roman" w:hAnsi="Times New Roman"/>
          <w:kern w:val="0"/>
          <w:sz w:val="24"/>
        </w:rPr>
        <w:t>填报单位：衡阳县三湖镇人民政府</w:t>
      </w:r>
      <w:r>
        <w:rPr>
          <w:rFonts w:ascii="Times New Roman" w:hAnsi="Times New Roman" w:eastAsia="PMingLiU"/>
          <w:kern w:val="0"/>
          <w:sz w:val="24"/>
        </w:rPr>
        <w:tab/>
      </w:r>
      <w:r>
        <w:rPr>
          <w:rFonts w:hint="eastAsia" w:ascii="Times New Roman" w:hAnsi="Times New Roman"/>
          <w:kern w:val="0"/>
          <w:sz w:val="24"/>
        </w:rPr>
        <w:t xml:space="preserve">   填报时间：</w:t>
      </w:r>
      <w:r>
        <w:rPr>
          <w:rFonts w:hint="eastAsia" w:ascii="宋体"/>
          <w:sz w:val="24"/>
        </w:rPr>
        <w:t>2023/2/20</w:t>
      </w:r>
      <w:r>
        <w:rPr>
          <w:rFonts w:hint="eastAsia" w:ascii="Times New Roman" w:hAnsi="Times New Roman"/>
          <w:kern w:val="0"/>
          <w:sz w:val="24"/>
        </w:rPr>
        <w:t xml:space="preserve"> 单位：万元</w:t>
      </w:r>
      <w:r>
        <w:rPr>
          <w:rFonts w:ascii="Times New Roman" w:hAnsi="Times New Roman" w:eastAsia="PMingLiU"/>
          <w:kern w:val="0"/>
          <w:sz w:val="24"/>
        </w:rPr>
        <w:tab/>
      </w:r>
    </w:p>
    <w:tbl>
      <w:tblPr>
        <w:tblStyle w:val="3"/>
        <w:tblW w:w="911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47"/>
        <w:gridCol w:w="1701"/>
        <w:gridCol w:w="1754"/>
        <w:gridCol w:w="1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财政供养人员情况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编制数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年末实际在职人数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101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74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100%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经费控制情况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当年决算数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当年预算数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上年决算数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一、部门基本支出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4402.29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1944.23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2142.69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其中：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、压缩一般性支出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950.57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646.5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1040.08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2、三公经费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11.93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15.93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公务用车购置和维护经费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1.95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2.08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其中：公车购置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         公车运行维护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1.95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2.08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 xml:space="preserve">    公务接待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9.98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13.85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/>
                <w:kern w:val="0"/>
                <w:szCs w:val="21"/>
              </w:rPr>
              <w:t xml:space="preserve"> </w:t>
            </w:r>
            <w:r>
              <w:rPr>
                <w:rFonts w:hint="eastAsia" w:ascii="Times New Roman" w:hAnsi="Times New Roman"/>
                <w:kern w:val="0"/>
                <w:szCs w:val="21"/>
              </w:rPr>
              <w:t>出国（境）经费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二、部门项目支出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233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/>
                <w:kern w:val="0"/>
                <w:szCs w:val="21"/>
              </w:rPr>
              <w:t>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1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、业务工作专项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Fonts w:ascii="宋体" w:hAnsi="宋体" w:cs="Arial"/>
                <w:color w:val="00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 xml:space="preserve">  2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、运行维护专项</w:t>
            </w:r>
            <w:r>
              <w:rPr>
                <w:rFonts w:ascii="Times New Roman" w:hAnsi="Times New Roman"/>
                <w:kern w:val="0"/>
                <w:szCs w:val="21"/>
              </w:rPr>
              <w:t>(</w:t>
            </w:r>
            <w:r>
              <w:rPr>
                <w:rFonts w:hint="eastAsia" w:ascii="Times New Roman" w:hAnsi="Times New Roman"/>
                <w:kern w:val="0"/>
                <w:szCs w:val="21"/>
              </w:rPr>
              <w:t>一个项目一行</w:t>
            </w:r>
            <w:r>
              <w:rPr>
                <w:rFonts w:ascii="Times New Roman" w:hAnsi="Times New Roman"/>
                <w:kern w:val="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945" w:firstLineChars="450"/>
              <w:jc w:val="left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……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ascii="Times New Roman" w:hAnsi="Times New Roman"/>
                <w:kern w:val="0"/>
                <w:szCs w:val="21"/>
              </w:rPr>
              <w:t>3</w:t>
            </w:r>
            <w:r>
              <w:rPr>
                <w:rFonts w:hint="eastAsia" w:ascii="Times New Roman" w:hAnsi="Times New Roman"/>
                <w:kern w:val="0"/>
                <w:szCs w:val="21"/>
              </w:rPr>
              <w:t>、县级专项资金（一个专项一行）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湘财行指[2021]43号：2021年部分市县专项（三湖镇枫坳村）湘财行指[2021]22号：2021年部分市县专项经费（三湖镇福兴村）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基础设施建设资金（含祥丰村10万）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湘财建指[2021]139号:2021年第二批专项补助资金（中湖村）小城镇基础设施建设湘财建指[2021]139号:2021年第二批专项补助资金（三湖镇）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33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衡财建指[2021]304号：2021年新农村建设补助资金（三湖镇福兴村衡财建指[2021]388号:2021年小型设施建设补助资金（联洋村）衡财建指[2021]305号：2021年农村小型基础设施建设补助资金（永安村、福城村、联洋村）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衡财建指[2021]306号：小型交通基础设施建设补助资金（联洋村大波村）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8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衡财综指[2021]79号：住房公积金增值收益（三湖镇政府公租房）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Arial"/>
                <w:color w:val="000000"/>
                <w:sz w:val="22"/>
                <w:szCs w:val="22"/>
              </w:rPr>
            </w:pPr>
            <w:r>
              <w:rPr>
                <w:rFonts w:hint="eastAsia" w:cs="Arial"/>
                <w:color w:val="000000"/>
                <w:sz w:val="22"/>
                <w:szCs w:val="22"/>
              </w:rPr>
              <w:t>70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政府采购金额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297.35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　0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262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94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厉行节约保障措施</w:t>
            </w:r>
          </w:p>
        </w:tc>
        <w:tc>
          <w:tcPr>
            <w:tcW w:w="51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hint="eastAsia" w:ascii="Times New Roman" w:hAnsi="Times New Roman"/>
                <w:kern w:val="0"/>
                <w:szCs w:val="21"/>
              </w:rPr>
              <w:t>提高认识，增强落实厉行节约要求的责任感，积极推进节约型机关建设；2、推进财政科学化精细化管理，深化预算管理改革，加快建设健全科学的预算决策与编制机制，切实增强预算约束力；3、规范公务用车配备使用管理和公务接待管理，进一步控制差旅会议文件等一般性支出。</w:t>
            </w:r>
          </w:p>
        </w:tc>
      </w:tr>
    </w:tbl>
    <w:p>
      <w:pPr>
        <w:spacing w:beforeLines="20"/>
        <w:rPr>
          <w:rFonts w:ascii="Times New Roman" w:hAnsi="Times New Roman"/>
          <w:kern w:val="0"/>
          <w:szCs w:val="22"/>
        </w:rPr>
      </w:pPr>
      <w:r>
        <w:rPr>
          <w:rFonts w:hint="eastAsia" w:ascii="Times New Roman" w:hAnsi="Times New Roman"/>
          <w:kern w:val="0"/>
          <w:szCs w:val="22"/>
        </w:rPr>
        <w:t>说明：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公用经费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填报基本支出中的一般商品和服务支出；</w:t>
      </w:r>
      <w:r>
        <w:rPr>
          <w:rFonts w:ascii="Times New Roman" w:hAnsi="Times New Roman"/>
          <w:kern w:val="0"/>
          <w:szCs w:val="22"/>
        </w:rPr>
        <w:t>“</w:t>
      </w:r>
      <w:r>
        <w:rPr>
          <w:rFonts w:hint="eastAsia" w:ascii="Times New Roman" w:hAnsi="Times New Roman"/>
          <w:kern w:val="0"/>
          <w:szCs w:val="22"/>
        </w:rPr>
        <w:t>项目支出</w:t>
      </w:r>
      <w:r>
        <w:rPr>
          <w:rFonts w:ascii="Times New Roman" w:hAnsi="Times New Roman"/>
          <w:kern w:val="0"/>
          <w:szCs w:val="22"/>
        </w:rPr>
        <w:t>”</w:t>
      </w:r>
      <w:r>
        <w:rPr>
          <w:rFonts w:hint="eastAsia" w:ascii="Times New Roman" w:hAnsi="Times New Roman"/>
          <w:kern w:val="0"/>
          <w:szCs w:val="22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sz w:val="24"/>
        </w:rPr>
        <w:t>填表人：杨嘉慧     联系电话：</w:t>
      </w:r>
      <w:r>
        <w:rPr>
          <w:rFonts w:hint="eastAsia" w:ascii="宋体" w:hAnsi="宋体" w:cs="宋体"/>
          <w:color w:val="000000"/>
          <w:kern w:val="0"/>
          <w:szCs w:val="21"/>
        </w:rPr>
        <w:t>0734-6021493</w:t>
      </w:r>
      <w:r>
        <w:rPr>
          <w:rFonts w:hint="eastAsia" w:ascii="宋体" w:hAnsi="宋体" w:cs="宋体"/>
          <w:sz w:val="24"/>
        </w:rPr>
        <w:t xml:space="preserve">      单位负责人签字：</w:t>
      </w:r>
      <w:r>
        <w:rPr>
          <w:rFonts w:hint="eastAsia" w:ascii="宋体" w:hAnsi="宋体" w:cs="宋体"/>
          <w:kern w:val="0"/>
          <w:sz w:val="24"/>
        </w:rPr>
        <w:t>彭琳媛</w:t>
      </w:r>
    </w:p>
    <w:p>
      <w:pPr>
        <w:spacing w:beforeLines="50" w:line="300" w:lineRule="exact"/>
        <w:rPr>
          <w:rFonts w:ascii="宋体" w:hAnsi="宋体" w:cs="宋体"/>
          <w:kern w:val="0"/>
          <w:sz w:val="24"/>
        </w:rPr>
      </w:pPr>
    </w:p>
    <w:p>
      <w:pPr>
        <w:spacing w:beforeLines="50" w:line="300" w:lineRule="exact"/>
        <w:rPr>
          <w:rFonts w:ascii="宋体" w:hAnsi="宋体" w:cs="宋体"/>
          <w:kern w:val="0"/>
          <w:sz w:val="24"/>
        </w:rPr>
      </w:pPr>
    </w:p>
    <w:p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br w:type="page"/>
      </w:r>
    </w:p>
    <w:p>
      <w:pPr>
        <w:spacing w:beforeLines="50" w:line="300" w:lineRule="exact"/>
        <w:rPr>
          <w:rFonts w:ascii="宋体" w:hAnsi="宋体" w:cs="宋体"/>
          <w:kern w:val="0"/>
          <w:sz w:val="24"/>
        </w:rPr>
      </w:pPr>
    </w:p>
    <w:p>
      <w:pPr>
        <w:spacing w:beforeLines="50"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Times New Roman" w:hAnsi="Times New Roman" w:eastAsia="仿宋"/>
          <w:color w:val="000000"/>
          <w:kern w:val="0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（2022</w:t>
      </w:r>
      <w:r>
        <w:rPr>
          <w:rFonts w:hint="eastAsia"/>
          <w:sz w:val="28"/>
          <w:szCs w:val="28"/>
        </w:rPr>
        <w:t>年度</w:t>
      </w:r>
      <w:r>
        <w:rPr>
          <w:rFonts w:hint="eastAsia" w:ascii="方正小标宋_GBK" w:eastAsia="方正小标宋_GBK"/>
          <w:sz w:val="28"/>
          <w:szCs w:val="28"/>
        </w:rPr>
        <w:t>）</w:t>
      </w:r>
    </w:p>
    <w:p>
      <w:pPr>
        <w:spacing w:line="300" w:lineRule="exact"/>
        <w:rPr>
          <w:rFonts w:ascii="宋体"/>
          <w:sz w:val="24"/>
        </w:rPr>
      </w:pPr>
      <w:r>
        <w:rPr>
          <w:rFonts w:hint="eastAsia" w:ascii="宋体"/>
          <w:sz w:val="24"/>
        </w:rPr>
        <w:t>填报单位（盖章）：</w:t>
      </w:r>
      <w:r>
        <w:rPr>
          <w:rFonts w:hint="eastAsia" w:ascii="Times New Roman" w:hAnsi="Times New Roman"/>
          <w:kern w:val="0"/>
          <w:sz w:val="24"/>
        </w:rPr>
        <w:t>衡阳县三湖镇人民政府</w:t>
      </w:r>
      <w:r>
        <w:rPr>
          <w:rFonts w:ascii="宋体"/>
          <w:sz w:val="24"/>
        </w:rPr>
        <w:t xml:space="preserve"> </w:t>
      </w:r>
      <w:r>
        <w:rPr>
          <w:rFonts w:hint="eastAsia" w:ascii="宋体"/>
          <w:sz w:val="24"/>
        </w:rPr>
        <w:t xml:space="preserve"> 填报时间：2023/2/20单位：万元</w:t>
      </w:r>
    </w:p>
    <w:tbl>
      <w:tblPr>
        <w:tblStyle w:val="3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108" w:type="dxa"/>
        </w:tblCellMar>
      </w:tblPr>
      <w:tblGrid>
        <w:gridCol w:w="612"/>
        <w:gridCol w:w="606"/>
        <w:gridCol w:w="294"/>
        <w:gridCol w:w="1050"/>
        <w:gridCol w:w="1005"/>
        <w:gridCol w:w="1695"/>
        <w:gridCol w:w="1521"/>
        <w:gridCol w:w="1358"/>
        <w:gridCol w:w="840"/>
        <w:gridCol w:w="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部门资金（万元）</w:t>
            </w: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全年预算数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全年执行数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预算执行率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年度资金总额　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1944.23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4635.29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　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5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按收入性质分类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按支出性质分类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一般公共预算拨款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2015.34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基本支出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4402.29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政府性基金拨款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1.人员经费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950.57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纳入管理的非税收入拨款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ind w:firstLine="440" w:firstLineChars="20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2.公用经费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3457.73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……拨款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其中：三公经费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仿宋_GB2312" w:cs="宋体"/>
                <w:color w:val="000000"/>
                <w:kern w:val="0"/>
                <w:sz w:val="22"/>
                <w:szCs w:val="22"/>
              </w:rPr>
              <w:t>11.93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55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其他资金</w:t>
            </w:r>
          </w:p>
        </w:tc>
        <w:tc>
          <w:tcPr>
            <w:tcW w:w="1695" w:type="dxa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2605.95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项目支出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年度总体目标</w:t>
            </w:r>
          </w:p>
        </w:tc>
        <w:tc>
          <w:tcPr>
            <w:tcW w:w="465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年初预期（设定）目标　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4397" w:hRule="atLeast"/>
          <w:jc w:val="center"/>
        </w:trPr>
        <w:tc>
          <w:tcPr>
            <w:tcW w:w="612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650" w:type="dxa"/>
            <w:gridSpan w:val="5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在本年度收支预算内，确保完成以下整体目标：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目标1：奋力冲刺重点项目攻坚，促进乡镇经济发展；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目标2：完善基础设施建设与惠民项目资金的管理，道路修扩建、硬化工程、安全饮水工程等验收合格率达90%；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目标3："两卡两折"补贴发放及时率达100%，坚守民生保障底线；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目标4：加强社会管理，维护社会稳定，妥善处理突发性、群体性事件，调节和处理好各种利益矛盾和纠分；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目标5：灾害防治、安全生产、森林防火实现"零发生"，人民生活水平不断提高，社会公众满意程度普遍提升；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目标6：扶持对村级集体经济组织发展，决胜脱贫攻坚；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、大力发展优质稻、双季稻比上年新增约1000亩种植；2、完善了基础设施建设与惠民项目资金的管理，道路修扩建、硬化工程、安全饮水工程等验收合格率达90%；3、基本民生得到保障，落实惠农资金补助、民政资金、农民资金“一卡通”100%发放；4、社会管理稳定，调节和处理好了各种利益矛盾和纠分；5：灾害防治、安全生产、森林防火实现"零发生"，人民生活水平不断提高，社会公众满意程度普遍提升；6、扶持对新建村级集体经济组织发展，且无返贫现象发生；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632" w:hRule="exact"/>
          <w:jc w:val="center"/>
        </w:trPr>
        <w:tc>
          <w:tcPr>
            <w:tcW w:w="612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绩效指标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一级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</w:tc>
        <w:tc>
          <w:tcPr>
            <w:tcW w:w="105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二级指标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三级指标　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年度指标值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实际完成值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分值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（50分）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数量指标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1、重点项目建设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≧1个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2、落实粮食生产战略村居数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19个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19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3、扶持村级集体经济发展，巩固脱贫攻坚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1个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质量指标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1、发展双季稻，在去年的基础上增加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2、杜绝返贫现象，乡村振兴</w:t>
            </w:r>
          </w:p>
        </w:tc>
        <w:tc>
          <w:tcPr>
            <w:tcW w:w="15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返贫率0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3、重点项目建设完成率(小区外配套工程)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100%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时效指标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1、双季稻种植及时率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016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2、扶持村级集体经济发展，民政补助、残疾补助等各类补贴发放及时率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准时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准时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3、重点项目建设完工速率(小区外配套工程)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及时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成本指标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1、基本支出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2、双季稻补贴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3、设备、防护、培训等经费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不突破预算金额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未突破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绩效指标</w:t>
            </w: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（30分）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经济效益指标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粮食产量提升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50斤每亩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大于50斤每亩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农民增收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≧1000元/人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大于1000元/人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村民出行效率、道路、饮水安全提高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农户劳动获得感增强，生活水平提高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有所增强、有所提高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有所增强、有所提高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以新农村建设为重点，推进生态建设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开展群众性爱国卫生活动，美化环境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可持续影响指标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政府服务职能增强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有所增强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有所增强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坚持统筹城乡发展，稳步发展战略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稳步提高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稳步提高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指标</w:t>
            </w:r>
          </w:p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（10分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政府工作作风建设，社区、村组群众对政府职能达成满意度有所提高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61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50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通过各项工作开展，群众生活满意度较去年有所提高</w:t>
            </w:r>
          </w:p>
        </w:tc>
        <w:tc>
          <w:tcPr>
            <w:tcW w:w="1521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135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有所提高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93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56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综合评定等级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良好</w:t>
            </w:r>
          </w:p>
        </w:tc>
        <w:tc>
          <w:tcPr>
            <w:tcW w:w="2879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总  分</w:t>
            </w:r>
          </w:p>
        </w:tc>
        <w:tc>
          <w:tcPr>
            <w:tcW w:w="177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1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说明</w:t>
            </w:r>
          </w:p>
        </w:tc>
        <w:tc>
          <w:tcPr>
            <w:tcW w:w="404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偏差及原因分析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改进措施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85" w:type="dxa"/>
            <w:bottom w:w="0" w:type="dxa"/>
            <w:right w:w="108" w:type="dxa"/>
          </w:tblCellMar>
        </w:tblPrEx>
        <w:trPr>
          <w:trHeight w:val="1841" w:hRule="atLeast"/>
          <w:jc w:val="center"/>
        </w:trPr>
        <w:tc>
          <w:tcPr>
            <w:tcW w:w="1218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sz w:val="22"/>
                <w:szCs w:val="22"/>
              </w:rPr>
            </w:pPr>
          </w:p>
        </w:tc>
        <w:tc>
          <w:tcPr>
            <w:tcW w:w="4044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由于2022年天气影响，农作物受到干旱、洪涝、寒露风灾损。</w:t>
            </w:r>
          </w:p>
        </w:tc>
        <w:tc>
          <w:tcPr>
            <w:tcW w:w="4650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及时监测天气，对农作物做出相应的预防，加强对农作物生长情况的监控；发展群众增收渠道，如扶贫车间等相关产业，促进经济恢复，增加农民收入来源。</w:t>
            </w:r>
          </w:p>
        </w:tc>
      </w:tr>
    </w:tbl>
    <w:p>
      <w:pPr>
        <w:spacing w:beforeLines="50" w:line="300" w:lineRule="exact"/>
        <w:rPr>
          <w:rFonts w:ascii="宋体" w:hAnsi="宋体" w:cs="宋体"/>
          <w:sz w:val="22"/>
          <w:szCs w:val="22"/>
        </w:rPr>
      </w:pPr>
      <w:r>
        <w:rPr>
          <w:rFonts w:hint="eastAsia" w:ascii="宋体" w:hAnsi="宋体" w:cs="宋体"/>
          <w:sz w:val="22"/>
          <w:szCs w:val="22"/>
        </w:rPr>
        <w:t>填表人：杨嘉慧       联系电话：</w:t>
      </w:r>
      <w:r>
        <w:rPr>
          <w:rFonts w:hint="eastAsia" w:ascii="宋体" w:hAnsi="宋体" w:cs="宋体"/>
          <w:color w:val="000000"/>
          <w:kern w:val="0"/>
          <w:szCs w:val="21"/>
        </w:rPr>
        <w:t>0734-6021493</w:t>
      </w:r>
      <w:r>
        <w:rPr>
          <w:rFonts w:hint="eastAsia" w:ascii="宋体" w:hAnsi="宋体" w:cs="宋体"/>
          <w:sz w:val="22"/>
          <w:szCs w:val="22"/>
        </w:rPr>
        <w:t xml:space="preserve">      单位负责人签字</w:t>
      </w:r>
      <w:r>
        <w:rPr>
          <w:rFonts w:hint="eastAsia" w:ascii="宋体" w:hAnsi="宋体" w:cs="宋体"/>
          <w:sz w:val="24"/>
        </w:rPr>
        <w:t>：彭琳媛</w:t>
      </w:r>
    </w:p>
    <w:p>
      <w:pPr>
        <w:spacing w:line="3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4"/>
        </w:rPr>
      </w:pP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说明：1.分值设定100分，其中预算执行率10分、产出指标50分、效益指标30分、满意度指标10分。除预算执行率外的指标应根据权重自行合理设定分值。</w:t>
      </w: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2.综合评价等级分为优秀（S≥90）、良好（90＞S≥80）、较差（80＞S≥60）、 差（S＜60）</w:t>
      </w:r>
      <w:r>
        <w:rPr>
          <w:rFonts w:hint="eastAsia" w:eastAsia="仿宋_GB2312"/>
          <w:sz w:val="24"/>
        </w:rPr>
        <w:t>。</w:t>
      </w:r>
    </w:p>
    <w:p>
      <w:pPr>
        <w:spacing w:line="320" w:lineRule="exac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 xml:space="preserve">      3.三级绩效指标按需自行增减行。个别不涉及的二级指标可删除不要。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90CAF8"/>
    <w:multiLevelType w:val="singleLevel"/>
    <w:tmpl w:val="8790CAF8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AE201A71"/>
    <w:multiLevelType w:val="singleLevel"/>
    <w:tmpl w:val="AE201A7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E652BCDB"/>
    <w:multiLevelType w:val="singleLevel"/>
    <w:tmpl w:val="E652BCDB"/>
    <w:lvl w:ilvl="0" w:tentative="0">
      <w:start w:val="6"/>
      <w:numFmt w:val="decimal"/>
      <w:suff w:val="nothing"/>
      <w:lvlText w:val="%1、"/>
      <w:lvlJc w:val="left"/>
    </w:lvl>
  </w:abstractNum>
  <w:abstractNum w:abstractNumId="3">
    <w:nsid w:val="6AA3E376"/>
    <w:multiLevelType w:val="singleLevel"/>
    <w:tmpl w:val="6AA3E37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0YzBkNWUzODBjOTM5NGRkNTc2MDRkMDQ1NDQ2NzkifQ=="/>
  </w:docVars>
  <w:rsids>
    <w:rsidRoot w:val="00BA0336"/>
    <w:rsid w:val="00003692"/>
    <w:rsid w:val="0004021A"/>
    <w:rsid w:val="000823B2"/>
    <w:rsid w:val="000851C4"/>
    <w:rsid w:val="001A7360"/>
    <w:rsid w:val="003E4215"/>
    <w:rsid w:val="00584502"/>
    <w:rsid w:val="006C175D"/>
    <w:rsid w:val="00760FAF"/>
    <w:rsid w:val="008E460F"/>
    <w:rsid w:val="008E57C8"/>
    <w:rsid w:val="00922293"/>
    <w:rsid w:val="00970501"/>
    <w:rsid w:val="009755CD"/>
    <w:rsid w:val="009770DC"/>
    <w:rsid w:val="009C6764"/>
    <w:rsid w:val="00A81CC3"/>
    <w:rsid w:val="00AB3DA5"/>
    <w:rsid w:val="00B230CD"/>
    <w:rsid w:val="00B52690"/>
    <w:rsid w:val="00BA0336"/>
    <w:rsid w:val="00C07304"/>
    <w:rsid w:val="00DE6F1B"/>
    <w:rsid w:val="00DF0AF5"/>
    <w:rsid w:val="00E37F38"/>
    <w:rsid w:val="00F7393F"/>
    <w:rsid w:val="032F672A"/>
    <w:rsid w:val="03F238D1"/>
    <w:rsid w:val="04762E15"/>
    <w:rsid w:val="07A5520D"/>
    <w:rsid w:val="094A6016"/>
    <w:rsid w:val="0B8D51C0"/>
    <w:rsid w:val="0C5769F2"/>
    <w:rsid w:val="0DC0353A"/>
    <w:rsid w:val="0FCE1079"/>
    <w:rsid w:val="10A54FC8"/>
    <w:rsid w:val="113B0990"/>
    <w:rsid w:val="15304CA1"/>
    <w:rsid w:val="167E3577"/>
    <w:rsid w:val="1B5A7C65"/>
    <w:rsid w:val="1C615A88"/>
    <w:rsid w:val="1D545D7E"/>
    <w:rsid w:val="21180C31"/>
    <w:rsid w:val="272829E4"/>
    <w:rsid w:val="28E17DFF"/>
    <w:rsid w:val="298E7B06"/>
    <w:rsid w:val="2B837ED6"/>
    <w:rsid w:val="2E103A21"/>
    <w:rsid w:val="30156AF1"/>
    <w:rsid w:val="31037B4C"/>
    <w:rsid w:val="35270760"/>
    <w:rsid w:val="3ACF516A"/>
    <w:rsid w:val="3CEB0831"/>
    <w:rsid w:val="3FBA0A34"/>
    <w:rsid w:val="478A3926"/>
    <w:rsid w:val="48C071D6"/>
    <w:rsid w:val="492002A0"/>
    <w:rsid w:val="4921722B"/>
    <w:rsid w:val="4BAE6526"/>
    <w:rsid w:val="4DE65204"/>
    <w:rsid w:val="529E4C3B"/>
    <w:rsid w:val="545A7779"/>
    <w:rsid w:val="546B4893"/>
    <w:rsid w:val="56DC4979"/>
    <w:rsid w:val="594F1AD6"/>
    <w:rsid w:val="5B247886"/>
    <w:rsid w:val="5C9E0692"/>
    <w:rsid w:val="5E783C56"/>
    <w:rsid w:val="5FDB1F72"/>
    <w:rsid w:val="60163727"/>
    <w:rsid w:val="61CE1EDF"/>
    <w:rsid w:val="63B05C41"/>
    <w:rsid w:val="647C4242"/>
    <w:rsid w:val="67747B15"/>
    <w:rsid w:val="68354966"/>
    <w:rsid w:val="691674C4"/>
    <w:rsid w:val="6A054AB6"/>
    <w:rsid w:val="6D57765A"/>
    <w:rsid w:val="72123735"/>
    <w:rsid w:val="75864A53"/>
    <w:rsid w:val="78870031"/>
    <w:rsid w:val="78874B03"/>
    <w:rsid w:val="788C5F92"/>
    <w:rsid w:val="789045CC"/>
    <w:rsid w:val="79BA084C"/>
    <w:rsid w:val="7ED20D09"/>
    <w:rsid w:val="7F2D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5">
    <w:name w:val="列出段落1"/>
    <w:basedOn w:val="1"/>
    <w:qFormat/>
    <w:uiPriority w:val="99"/>
    <w:pPr>
      <w:ind w:firstLine="420" w:firstLineChars="200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16</Pages>
  <Words>6852</Words>
  <Characters>2396</Characters>
  <Lines>19</Lines>
  <Paragraphs>18</Paragraphs>
  <TotalTime>68</TotalTime>
  <ScaleCrop>false</ScaleCrop>
  <LinksUpToDate>false</LinksUpToDate>
  <CharactersWithSpaces>9230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2022-04-10T14:29:00Z</dcterms:created>
  <dc:creator>86159</dc:creator>
  <cp:lastModifiedBy>WPS_1486868894</cp:lastModifiedBy>
  <cp:lastPrinted>2022-04-15T09:20:00Z</cp:lastPrinted>
  <dcterms:modified xsi:type="dcterms:W3CDTF">2023-10-31T01:20:00Z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580FF10C9C2E49EEA6A37479D980F40F_13</vt:lpwstr>
  </property>
</Properties>
</file>