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Lines="50" w:afterLines="50"/>
        <w:jc w:val="center"/>
        <w:rPr>
          <w:rFonts w:hint="eastAsia" w:ascii="黑体" w:hAnsi="黑体" w:eastAsia="黑体" w:cs="Times New Roman"/>
          <w:b w:val="0"/>
          <w:bCs w:val="0"/>
          <w:sz w:val="36"/>
          <w:szCs w:val="36"/>
          <w:lang w:eastAsia="zh-CN"/>
        </w:rPr>
      </w:pPr>
      <w:bookmarkStart w:id="1" w:name="_GoBack"/>
      <w:bookmarkEnd w:id="1"/>
      <w:r>
        <w:rPr>
          <w:rFonts w:hint="eastAsia" w:ascii="黑体" w:hAnsi="黑体" w:eastAsia="黑体" w:cs="宋体"/>
          <w:b w:val="0"/>
          <w:bCs w:val="0"/>
          <w:kern w:val="0"/>
          <w:sz w:val="36"/>
          <w:szCs w:val="36"/>
        </w:rPr>
        <w:t>健康县区评估细则</w:t>
      </w:r>
      <w:r>
        <w:rPr>
          <w:rFonts w:hint="eastAsia" w:ascii="黑体" w:hAnsi="黑体" w:eastAsia="黑体" w:cs="宋体"/>
          <w:b w:val="0"/>
          <w:bCs w:val="0"/>
          <w:kern w:val="0"/>
          <w:sz w:val="36"/>
          <w:szCs w:val="36"/>
          <w:lang w:eastAsia="zh-CN"/>
        </w:rPr>
        <w:t>（</w:t>
      </w:r>
      <w:r>
        <w:rPr>
          <w:rFonts w:hint="eastAsia" w:ascii="黑体" w:hAnsi="黑体" w:eastAsia="黑体" w:cs="宋体"/>
          <w:b w:val="0"/>
          <w:bCs w:val="0"/>
          <w:kern w:val="0"/>
          <w:sz w:val="36"/>
          <w:szCs w:val="36"/>
          <w:lang w:val="en-US" w:eastAsia="zh-CN"/>
        </w:rPr>
        <w:t>试行</w:t>
      </w:r>
      <w:r>
        <w:rPr>
          <w:rFonts w:hint="eastAsia" w:ascii="黑体" w:hAnsi="黑体" w:eastAsia="黑体" w:cs="宋体"/>
          <w:b w:val="0"/>
          <w:bCs w:val="0"/>
          <w:kern w:val="0"/>
          <w:sz w:val="36"/>
          <w:szCs w:val="36"/>
          <w:lang w:eastAsia="zh-CN"/>
        </w:rPr>
        <w:t>）</w:t>
      </w:r>
    </w:p>
    <w:tbl>
      <w:tblPr>
        <w:tblStyle w:val="6"/>
        <w:tblW w:w="15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695"/>
        <w:gridCol w:w="968"/>
        <w:gridCol w:w="2496"/>
        <w:gridCol w:w="3095"/>
        <w:gridCol w:w="5836"/>
        <w:gridCol w:w="696"/>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jc w:val="center"/>
        </w:trPr>
        <w:tc>
          <w:tcPr>
            <w:tcW w:w="589" w:type="dxa"/>
            <w:noWrap w:val="0"/>
            <w:vAlign w:val="top"/>
          </w:tcPr>
          <w:p>
            <w:pPr>
              <w:widowControl/>
              <w:spacing w:line="365" w:lineRule="atLeast"/>
              <w:jc w:val="center"/>
              <w:rPr>
                <w:rFonts w:ascii="黑体" w:hAnsi="黑体" w:eastAsia="黑体" w:cs="仿宋"/>
                <w:b w:val="0"/>
                <w:bCs w:val="0"/>
                <w:color w:val="000000"/>
                <w:kern w:val="0"/>
                <w:szCs w:val="21"/>
                <w:highlight w:val="none"/>
              </w:rPr>
            </w:pPr>
            <w:r>
              <w:rPr>
                <w:rFonts w:ascii="黑体" w:hAnsi="黑体" w:eastAsia="黑体" w:cs="仿宋"/>
                <w:b w:val="0"/>
                <w:bCs w:val="0"/>
                <w:color w:val="000000"/>
                <w:kern w:val="0"/>
                <w:szCs w:val="21"/>
                <w:highlight w:val="none"/>
              </w:rPr>
              <w:t>领</w:t>
            </w:r>
          </w:p>
          <w:p>
            <w:pPr>
              <w:widowControl/>
              <w:spacing w:line="365" w:lineRule="atLeast"/>
              <w:jc w:val="center"/>
              <w:rPr>
                <w:rFonts w:ascii="黑体" w:hAnsi="黑体" w:eastAsia="黑体" w:cs="Times New Roman"/>
                <w:b w:val="0"/>
                <w:bCs w:val="0"/>
                <w:color w:val="000000"/>
                <w:szCs w:val="21"/>
                <w:highlight w:val="none"/>
              </w:rPr>
            </w:pPr>
            <w:r>
              <w:rPr>
                <w:rFonts w:ascii="黑体" w:hAnsi="黑体" w:eastAsia="黑体" w:cs="仿宋"/>
                <w:b w:val="0"/>
                <w:bCs w:val="0"/>
                <w:color w:val="000000"/>
                <w:kern w:val="0"/>
                <w:szCs w:val="21"/>
                <w:highlight w:val="none"/>
              </w:rPr>
              <w:t>域</w:t>
            </w:r>
          </w:p>
        </w:tc>
        <w:tc>
          <w:tcPr>
            <w:tcW w:w="695" w:type="dxa"/>
            <w:noWrap w:val="0"/>
            <w:vAlign w:val="top"/>
          </w:tcPr>
          <w:p>
            <w:pPr>
              <w:widowControl/>
              <w:spacing w:line="365" w:lineRule="atLeast"/>
              <w:jc w:val="center"/>
              <w:rPr>
                <w:rFonts w:ascii="黑体" w:hAnsi="黑体" w:eastAsia="黑体" w:cs="仿宋"/>
                <w:b w:val="0"/>
                <w:bCs w:val="0"/>
                <w:color w:val="000000"/>
                <w:kern w:val="0"/>
                <w:szCs w:val="21"/>
                <w:highlight w:val="none"/>
              </w:rPr>
            </w:pPr>
            <w:r>
              <w:rPr>
                <w:rFonts w:hint="eastAsia" w:ascii="黑体" w:hAnsi="黑体" w:eastAsia="黑体" w:cs="仿宋"/>
                <w:b w:val="0"/>
                <w:bCs w:val="0"/>
                <w:color w:val="000000"/>
                <w:kern w:val="0"/>
                <w:szCs w:val="21"/>
                <w:highlight w:val="none"/>
              </w:rPr>
              <w:t>建设规范对应条目</w:t>
            </w:r>
          </w:p>
        </w:tc>
        <w:tc>
          <w:tcPr>
            <w:tcW w:w="968" w:type="dxa"/>
            <w:noWrap w:val="0"/>
            <w:vAlign w:val="top"/>
          </w:tcPr>
          <w:p>
            <w:pPr>
              <w:widowControl/>
              <w:spacing w:line="365" w:lineRule="atLeast"/>
              <w:jc w:val="center"/>
              <w:rPr>
                <w:rFonts w:hint="eastAsia" w:ascii="黑体" w:hAnsi="黑体" w:eastAsia="黑体" w:cs="仿宋"/>
                <w:b w:val="0"/>
                <w:bCs w:val="0"/>
                <w:color w:val="000000"/>
                <w:kern w:val="0"/>
                <w:szCs w:val="21"/>
                <w:highlight w:val="none"/>
              </w:rPr>
            </w:pPr>
            <w:r>
              <w:rPr>
                <w:rFonts w:hint="eastAsia" w:ascii="黑体" w:hAnsi="黑体" w:eastAsia="黑体" w:cs="仿宋"/>
                <w:b w:val="0"/>
                <w:bCs w:val="0"/>
                <w:color w:val="000000"/>
                <w:kern w:val="0"/>
                <w:szCs w:val="21"/>
                <w:highlight w:val="none"/>
              </w:rPr>
              <w:t>评估</w:t>
            </w:r>
          </w:p>
          <w:p>
            <w:pPr>
              <w:widowControl/>
              <w:spacing w:line="365" w:lineRule="atLeast"/>
              <w:jc w:val="center"/>
              <w:rPr>
                <w:rFonts w:ascii="黑体" w:hAnsi="黑体" w:eastAsia="黑体" w:cs="Times New Roman"/>
                <w:b w:val="0"/>
                <w:bCs w:val="0"/>
                <w:color w:val="000000"/>
                <w:szCs w:val="21"/>
                <w:highlight w:val="none"/>
              </w:rPr>
            </w:pPr>
            <w:r>
              <w:rPr>
                <w:rFonts w:hint="eastAsia" w:ascii="黑体" w:hAnsi="黑体" w:eastAsia="黑体" w:cs="仿宋"/>
                <w:b w:val="0"/>
                <w:bCs w:val="0"/>
                <w:color w:val="000000"/>
                <w:kern w:val="0"/>
                <w:szCs w:val="21"/>
                <w:highlight w:val="none"/>
              </w:rPr>
              <w:t>指标</w:t>
            </w:r>
          </w:p>
        </w:tc>
        <w:tc>
          <w:tcPr>
            <w:tcW w:w="2496" w:type="dxa"/>
            <w:noWrap w:val="0"/>
            <w:vAlign w:val="top"/>
          </w:tcPr>
          <w:p>
            <w:pPr>
              <w:widowControl/>
              <w:spacing w:line="365" w:lineRule="atLeast"/>
              <w:jc w:val="center"/>
              <w:rPr>
                <w:rFonts w:ascii="黑体" w:hAnsi="黑体" w:eastAsia="黑体" w:cs="Times New Roman"/>
                <w:b w:val="0"/>
                <w:bCs w:val="0"/>
                <w:color w:val="000000"/>
                <w:szCs w:val="21"/>
                <w:highlight w:val="none"/>
              </w:rPr>
            </w:pPr>
            <w:r>
              <w:rPr>
                <w:rFonts w:hint="eastAsia" w:ascii="黑体" w:hAnsi="黑体" w:eastAsia="黑体" w:cs="仿宋"/>
                <w:b w:val="0"/>
                <w:bCs w:val="0"/>
                <w:color w:val="000000"/>
                <w:kern w:val="0"/>
                <w:szCs w:val="21"/>
                <w:highlight w:val="none"/>
              </w:rPr>
              <w:t>指标说明</w:t>
            </w:r>
          </w:p>
        </w:tc>
        <w:tc>
          <w:tcPr>
            <w:tcW w:w="3095" w:type="dxa"/>
            <w:noWrap w:val="0"/>
            <w:vAlign w:val="top"/>
          </w:tcPr>
          <w:p>
            <w:pPr>
              <w:widowControl/>
              <w:spacing w:line="365" w:lineRule="atLeast"/>
              <w:jc w:val="center"/>
              <w:rPr>
                <w:rFonts w:ascii="黑体" w:hAnsi="黑体" w:eastAsia="黑体" w:cs="Times New Roman"/>
                <w:b w:val="0"/>
                <w:bCs w:val="0"/>
                <w:color w:val="000000"/>
                <w:szCs w:val="21"/>
                <w:highlight w:val="none"/>
              </w:rPr>
            </w:pPr>
            <w:r>
              <w:rPr>
                <w:rFonts w:hint="eastAsia" w:ascii="黑体" w:hAnsi="黑体" w:eastAsia="黑体" w:cs="仿宋"/>
                <w:b w:val="0"/>
                <w:bCs w:val="0"/>
                <w:color w:val="000000"/>
                <w:kern w:val="0"/>
                <w:szCs w:val="21"/>
                <w:highlight w:val="none"/>
              </w:rPr>
              <w:t>评估方式</w:t>
            </w:r>
          </w:p>
        </w:tc>
        <w:tc>
          <w:tcPr>
            <w:tcW w:w="5836" w:type="dxa"/>
            <w:noWrap w:val="0"/>
            <w:vAlign w:val="top"/>
          </w:tcPr>
          <w:p>
            <w:pPr>
              <w:widowControl/>
              <w:spacing w:line="365" w:lineRule="atLeast"/>
              <w:jc w:val="center"/>
              <w:rPr>
                <w:rFonts w:ascii="黑体" w:hAnsi="黑体" w:eastAsia="黑体" w:cs="Times New Roman"/>
                <w:b w:val="0"/>
                <w:bCs w:val="0"/>
                <w:color w:val="000000"/>
                <w:szCs w:val="21"/>
                <w:highlight w:val="none"/>
              </w:rPr>
            </w:pPr>
            <w:r>
              <w:rPr>
                <w:rFonts w:hint="eastAsia" w:ascii="黑体" w:hAnsi="黑体" w:eastAsia="黑体" w:cs="仿宋"/>
                <w:b w:val="0"/>
                <w:bCs w:val="0"/>
                <w:color w:val="000000"/>
                <w:kern w:val="0"/>
                <w:szCs w:val="21"/>
                <w:highlight w:val="none"/>
              </w:rPr>
              <w:t>赋分标准</w:t>
            </w:r>
          </w:p>
        </w:tc>
        <w:tc>
          <w:tcPr>
            <w:tcW w:w="696" w:type="dxa"/>
            <w:noWrap w:val="0"/>
            <w:vAlign w:val="top"/>
          </w:tcPr>
          <w:p>
            <w:pPr>
              <w:widowControl/>
              <w:spacing w:line="365" w:lineRule="atLeast"/>
              <w:jc w:val="center"/>
              <w:rPr>
                <w:rFonts w:ascii="黑体" w:hAnsi="黑体" w:eastAsia="黑体" w:cs="Times New Roman"/>
                <w:b w:val="0"/>
                <w:bCs w:val="0"/>
                <w:color w:val="000000"/>
                <w:szCs w:val="21"/>
                <w:highlight w:val="none"/>
              </w:rPr>
            </w:pPr>
            <w:r>
              <w:rPr>
                <w:rFonts w:hint="eastAsia" w:ascii="黑体" w:hAnsi="黑体" w:eastAsia="黑体" w:cs="仿宋"/>
                <w:b w:val="0"/>
                <w:bCs w:val="0"/>
                <w:color w:val="000000"/>
                <w:kern w:val="0"/>
                <w:szCs w:val="21"/>
                <w:highlight w:val="none"/>
              </w:rPr>
              <w:t>分值</w:t>
            </w:r>
          </w:p>
        </w:tc>
        <w:tc>
          <w:tcPr>
            <w:tcW w:w="900" w:type="dxa"/>
            <w:noWrap w:val="0"/>
            <w:vAlign w:val="top"/>
          </w:tcPr>
          <w:p>
            <w:pPr>
              <w:widowControl/>
              <w:spacing w:line="365" w:lineRule="atLeast"/>
              <w:jc w:val="center"/>
              <w:rPr>
                <w:rFonts w:hint="eastAsia" w:ascii="黑体" w:hAnsi="黑体" w:eastAsia="黑体" w:cs="仿宋"/>
                <w:b w:val="0"/>
                <w:bCs w:val="0"/>
                <w:color w:val="000000"/>
                <w:kern w:val="0"/>
                <w:szCs w:val="21"/>
                <w:highlight w:val="none"/>
              </w:rPr>
            </w:pPr>
            <w:r>
              <w:rPr>
                <w:rFonts w:hint="eastAsia" w:ascii="黑体" w:hAnsi="黑体" w:eastAsia="黑体" w:cs="仿宋"/>
                <w:b w:val="0"/>
                <w:bCs w:val="0"/>
                <w:color w:val="000000"/>
                <w:kern w:val="0"/>
                <w:szCs w:val="21"/>
                <w:highlight w:val="none"/>
              </w:rPr>
              <w:t>文件</w:t>
            </w:r>
          </w:p>
          <w:p>
            <w:pPr>
              <w:widowControl/>
              <w:spacing w:line="365" w:lineRule="atLeast"/>
              <w:jc w:val="center"/>
              <w:rPr>
                <w:rFonts w:hint="eastAsia" w:ascii="黑体" w:hAnsi="黑体" w:eastAsia="黑体" w:cs="仿宋"/>
                <w:b w:val="0"/>
                <w:bCs w:val="0"/>
                <w:color w:val="000000"/>
                <w:kern w:val="0"/>
                <w:szCs w:val="21"/>
                <w:highlight w:val="none"/>
                <w:lang w:eastAsia="zh-CN"/>
              </w:rPr>
            </w:pPr>
            <w:r>
              <w:rPr>
                <w:rFonts w:hint="eastAsia" w:ascii="黑体" w:hAnsi="黑体" w:eastAsia="黑体" w:cs="仿宋"/>
                <w:b w:val="0"/>
                <w:bCs w:val="0"/>
                <w:color w:val="000000"/>
                <w:kern w:val="0"/>
                <w:szCs w:val="21"/>
                <w:highlight w:val="none"/>
                <w:lang w:eastAsia="zh-CN"/>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589" w:type="dxa"/>
            <w:vMerge w:val="restart"/>
            <w:noWrap w:val="0"/>
            <w:vAlign w:val="top"/>
          </w:tcPr>
          <w:p>
            <w:pPr>
              <w:jc w:val="both"/>
              <w:rPr>
                <w:rFonts w:ascii="宋体" w:hAnsi="宋体" w:eastAsia="宋体" w:cs="宋体"/>
                <w:color w:val="000000"/>
                <w:szCs w:val="21"/>
                <w:highlight w:val="none"/>
              </w:rPr>
            </w:pPr>
            <w:r>
              <w:rPr>
                <w:rFonts w:hint="eastAsia" w:ascii="宋体" w:hAnsi="宋体" w:eastAsia="宋体" w:cs="仿宋"/>
                <w:b/>
                <w:bCs/>
                <w:color w:val="000000"/>
                <w:kern w:val="0"/>
                <w:szCs w:val="21"/>
                <w:highlight w:val="none"/>
              </w:rPr>
              <w:t>一、健康政策</w:t>
            </w:r>
          </w:p>
        </w:tc>
        <w:tc>
          <w:tcPr>
            <w:tcW w:w="6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第六条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1.纳入县区发展规划</w:t>
            </w:r>
          </w:p>
        </w:tc>
        <w:tc>
          <w:tcPr>
            <w:tcW w:w="2496" w:type="dxa"/>
            <w:noWrap w:val="0"/>
            <w:vAlign w:val="top"/>
          </w:tcPr>
          <w:p>
            <w:pPr>
              <w:widowControl/>
              <w:jc w:val="both"/>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工作报告、发展规划等文件中，体现健康县区建设内容。</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查阅资料：工作报告、发展规划等文件。</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资料来源：文件印发部门。</w:t>
            </w:r>
          </w:p>
        </w:tc>
        <w:tc>
          <w:tcPr>
            <w:tcW w:w="5836" w:type="dxa"/>
            <w:noWrap w:val="0"/>
            <w:vAlign w:val="top"/>
          </w:tcPr>
          <w:p>
            <w:pPr>
              <w:widowControl/>
              <w:jc w:val="both"/>
              <w:rPr>
                <w:rFonts w:hint="default"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rPr>
              <w:t>文件中体现健康县区建设内容，得</w:t>
            </w:r>
            <w:r>
              <w:rPr>
                <w:rFonts w:hint="default" w:ascii="宋体" w:hAnsi="宋体" w:eastAsia="宋体" w:cs="宋体"/>
                <w:color w:val="000000"/>
                <w:kern w:val="0"/>
                <w:sz w:val="21"/>
                <w:szCs w:val="21"/>
                <w:highlight w:val="none"/>
                <w:lang w:val="en-US"/>
              </w:rPr>
              <w:t>10</w:t>
            </w:r>
            <w:r>
              <w:rPr>
                <w:rFonts w:hint="eastAsia" w:ascii="宋体" w:hAnsi="宋体" w:eastAsia="宋体" w:cs="宋体"/>
                <w:color w:val="000000"/>
                <w:kern w:val="0"/>
                <w:sz w:val="21"/>
                <w:szCs w:val="21"/>
                <w:highlight w:val="none"/>
              </w:rPr>
              <w:t>分；未体现，不得分。</w:t>
            </w:r>
          </w:p>
          <w:p>
            <w:pPr>
              <w:widowControl/>
              <w:jc w:val="both"/>
              <w:rPr>
                <w:rFonts w:hint="default" w:ascii="宋体" w:hAnsi="宋体" w:eastAsia="宋体" w:cs="宋体"/>
                <w:color w:val="000000"/>
                <w:kern w:val="0"/>
                <w:sz w:val="21"/>
                <w:szCs w:val="21"/>
                <w:highlight w:val="none"/>
                <w:lang w:val="en-US" w:eastAsia="zh-CN" w:bidi="ar-SA"/>
              </w:rPr>
            </w:pPr>
          </w:p>
        </w:tc>
        <w:tc>
          <w:tcPr>
            <w:tcW w:w="696" w:type="dxa"/>
            <w:noWrap w:val="0"/>
            <w:vAlign w:val="top"/>
          </w:tcPr>
          <w:p>
            <w:pPr>
              <w:widowControl/>
              <w:spacing w:line="400" w:lineRule="atLeast"/>
              <w:jc w:val="both"/>
              <w:rPr>
                <w:rFonts w:ascii="宋体" w:hAnsi="宋体" w:eastAsia="宋体" w:cs="Times New Roman"/>
                <w:color w:val="000000"/>
                <w:kern w:val="2"/>
                <w:sz w:val="21"/>
                <w:szCs w:val="21"/>
                <w:highlight w:val="none"/>
                <w:lang w:val="en-US" w:eastAsia="zh-CN" w:bidi="ar-SA"/>
              </w:rPr>
            </w:pPr>
            <w:r>
              <w:rPr>
                <w:rFonts w:ascii="宋体" w:hAnsi="宋体" w:eastAsia="宋体" w:cs="Times New Roman"/>
                <w:color w:val="000000"/>
                <w:kern w:val="2"/>
                <w:sz w:val="21"/>
                <w:szCs w:val="21"/>
                <w:highlight w:val="none"/>
                <w:lang w:val="en-US" w:eastAsia="zh-CN" w:bidi="ar-SA"/>
              </w:rPr>
              <w:t>10</w:t>
            </w:r>
            <w:r>
              <w:rPr>
                <w:rFonts w:hint="eastAsia" w:ascii="宋体" w:hAnsi="宋体" w:eastAsia="宋体" w:cs="Times New Roman"/>
                <w:color w:val="000000"/>
                <w:kern w:val="2"/>
                <w:sz w:val="21"/>
                <w:szCs w:val="21"/>
                <w:highlight w:val="none"/>
                <w:lang w:val="en-US" w:eastAsia="zh-CN" w:bidi="ar-SA"/>
              </w:rPr>
              <w:t>分</w:t>
            </w:r>
          </w:p>
        </w:tc>
        <w:tc>
          <w:tcPr>
            <w:tcW w:w="900" w:type="dxa"/>
            <w:vMerge w:val="restart"/>
            <w:noWrap w:val="0"/>
            <w:vAlign w:val="top"/>
          </w:tcPr>
          <w:p>
            <w:pPr>
              <w:widowControl/>
              <w:jc w:val="both"/>
              <w:rPr>
                <w:rFonts w:hint="default" w:ascii="宋体" w:hAnsi="宋体" w:eastAsia="宋体" w:cs="宋体"/>
                <w:strike w:val="0"/>
                <w:dstrike w:val="0"/>
                <w:color w:val="000000"/>
                <w:kern w:val="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589" w:type="dxa"/>
            <w:vMerge w:val="continue"/>
            <w:noWrap w:val="0"/>
            <w:vAlign w:val="top"/>
          </w:tcPr>
          <w:p>
            <w:pPr>
              <w:widowControl/>
              <w:spacing w:line="400" w:lineRule="atLeast"/>
              <w:jc w:val="both"/>
              <w:textAlignment w:val="center"/>
              <w:rPr>
                <w:rFonts w:ascii="宋体" w:hAnsi="宋体" w:eastAsia="宋体" w:cs="Times New Roman"/>
                <w:color w:val="000000"/>
                <w:szCs w:val="21"/>
                <w:highlight w:val="none"/>
              </w:rPr>
            </w:pPr>
          </w:p>
        </w:tc>
        <w:tc>
          <w:tcPr>
            <w:tcW w:w="695"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第七条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2.人群健康状况及影响因素分析</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收集人群健康状况及影响因素相关信息，分析辖区内主要健康问题，提出优先干预策略。</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查阅资料：相关调查报告。</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资料来源：卫生健康部门。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1.有相关调查报告，得4分；无报告</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2.资料收集方法合理，得4分；不合理</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3.分析思路清晰，方法得当，得4分；未达到要求</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4.提出主要的健康问题和影响因素，得4分；未提出</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5.提出明确的干预策略建议，得4分；未提出</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该指标满分为20分。</w:t>
            </w:r>
          </w:p>
        </w:tc>
        <w:tc>
          <w:tcPr>
            <w:tcW w:w="696" w:type="dxa"/>
            <w:noWrap w:val="0"/>
            <w:vAlign w:val="top"/>
          </w:tcPr>
          <w:p>
            <w:pPr>
              <w:widowControl/>
              <w:spacing w:line="400" w:lineRule="atLeast"/>
              <w:jc w:val="both"/>
              <w:textAlignment w:val="center"/>
              <w:rPr>
                <w:rFonts w:ascii="宋体" w:hAnsi="宋体" w:eastAsia="宋体" w:cs="Times New Roman"/>
                <w:color w:val="000000"/>
                <w:kern w:val="2"/>
                <w:sz w:val="21"/>
                <w:szCs w:val="21"/>
                <w:highlight w:val="none"/>
                <w:lang w:val="en-US" w:eastAsia="zh-CN" w:bidi="ar-SA"/>
              </w:rPr>
            </w:pPr>
            <w:r>
              <w:rPr>
                <w:rFonts w:hint="eastAsia" w:ascii="宋体" w:hAnsi="宋体" w:eastAsia="宋体" w:cs="Times New Roman"/>
                <w:color w:val="000000"/>
                <w:kern w:val="2"/>
                <w:sz w:val="21"/>
                <w:szCs w:val="21"/>
                <w:highlight w:val="none"/>
                <w:lang w:val="en-US" w:eastAsia="zh-CN" w:bidi="ar-SA"/>
              </w:rPr>
              <w:t>2</w:t>
            </w:r>
            <w:r>
              <w:rPr>
                <w:rFonts w:ascii="宋体" w:hAnsi="宋体" w:eastAsia="宋体" w:cs="Times New Roman"/>
                <w:color w:val="000000"/>
                <w:kern w:val="2"/>
                <w:sz w:val="21"/>
                <w:szCs w:val="21"/>
                <w:highlight w:val="none"/>
                <w:lang w:val="en-US" w:eastAsia="zh-CN" w:bidi="ar-SA"/>
              </w:rPr>
              <w:t>0</w:t>
            </w:r>
            <w:r>
              <w:rPr>
                <w:rFonts w:hint="eastAsia" w:ascii="宋体" w:hAnsi="宋体" w:eastAsia="宋体" w:cs="Times New Roman"/>
                <w:color w:val="000000"/>
                <w:kern w:val="2"/>
                <w:sz w:val="21"/>
                <w:szCs w:val="21"/>
                <w:highlight w:val="none"/>
                <w:lang w:val="en-US" w:eastAsia="zh-CN" w:bidi="ar-SA"/>
              </w:rPr>
              <w:t>分</w:t>
            </w:r>
          </w:p>
        </w:tc>
        <w:tc>
          <w:tcPr>
            <w:tcW w:w="900" w:type="dxa"/>
            <w:vMerge w:val="continue"/>
            <w:noWrap w:val="0"/>
            <w:vAlign w:val="top"/>
          </w:tcPr>
          <w:p>
            <w:pPr>
              <w:widowControl/>
              <w:spacing w:line="400" w:lineRule="atLeast"/>
              <w:jc w:val="both"/>
              <w:textAlignment w:val="center"/>
              <w:rPr>
                <w:rFonts w:ascii="宋体" w:hAnsi="宋体" w:eastAsia="宋体" w:cs="Times New Roman"/>
                <w:color w:val="000000"/>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89" w:type="dxa"/>
            <w:vMerge w:val="continue"/>
            <w:noWrap w:val="0"/>
            <w:vAlign w:val="top"/>
          </w:tcPr>
          <w:p>
            <w:pPr>
              <w:widowControl/>
              <w:spacing w:line="400" w:lineRule="atLeast"/>
              <w:jc w:val="both"/>
              <w:textAlignment w:val="center"/>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textAlignment w:val="center"/>
              <w:rPr>
                <w:rFonts w:ascii="宋体" w:hAnsi="宋体" w:eastAsia="宋体" w:cs="Times New Roman"/>
                <w:color w:val="00000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3.健康县区实施方案</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出台健康县区实施方案，明确建设目标、工作内容、任务分工、时间进度。</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查阅资料：健康县区实施方案。</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资料来源：文件印发部门。</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出台健康县区实施方案，并体现健康中国、乡村振兴和积极应对人口老龄化等国家战略，得</w:t>
            </w:r>
            <w:r>
              <w:rPr>
                <w:rFonts w:ascii="宋体" w:hAnsi="宋体" w:eastAsia="宋体" w:cs="宋体"/>
                <w:color w:val="000000"/>
                <w:kern w:val="0"/>
                <w:sz w:val="21"/>
                <w:szCs w:val="21"/>
                <w:highlight w:val="none"/>
                <w:lang w:val="en-US" w:eastAsia="zh-CN" w:bidi="ar-SA"/>
              </w:rPr>
              <w:t>10</w:t>
            </w:r>
            <w:r>
              <w:rPr>
                <w:rFonts w:hint="eastAsia" w:ascii="宋体" w:hAnsi="宋体" w:eastAsia="宋体" w:cs="宋体"/>
                <w:color w:val="000000"/>
                <w:kern w:val="0"/>
                <w:sz w:val="21"/>
                <w:szCs w:val="21"/>
                <w:highlight w:val="none"/>
                <w:lang w:val="en-US" w:eastAsia="zh-CN" w:bidi="ar-SA"/>
              </w:rPr>
              <w:t>分；仅有实施方案，但未体现三个国家战略的统筹考虑，得5分；无实施方案，不得分。</w:t>
            </w:r>
          </w:p>
        </w:tc>
        <w:tc>
          <w:tcPr>
            <w:tcW w:w="696" w:type="dxa"/>
            <w:noWrap w:val="0"/>
            <w:vAlign w:val="top"/>
          </w:tcPr>
          <w:p>
            <w:pPr>
              <w:widowControl/>
              <w:spacing w:line="400" w:lineRule="atLeast"/>
              <w:jc w:val="both"/>
              <w:textAlignment w:val="center"/>
              <w:rPr>
                <w:rFonts w:ascii="宋体" w:hAnsi="宋体" w:eastAsia="宋体" w:cs="Times New Roman"/>
                <w:color w:val="000000"/>
                <w:kern w:val="2"/>
                <w:sz w:val="21"/>
                <w:szCs w:val="21"/>
                <w:highlight w:val="none"/>
                <w:lang w:val="en-US" w:eastAsia="zh-CN" w:bidi="ar-SA"/>
              </w:rPr>
            </w:pPr>
            <w:r>
              <w:rPr>
                <w:rFonts w:ascii="宋体" w:hAnsi="宋体" w:eastAsia="宋体" w:cs="Times New Roman"/>
                <w:color w:val="000000"/>
                <w:kern w:val="2"/>
                <w:sz w:val="21"/>
                <w:szCs w:val="21"/>
                <w:highlight w:val="none"/>
                <w:lang w:val="en-US" w:eastAsia="zh-CN" w:bidi="ar-SA"/>
              </w:rPr>
              <w:t>10</w:t>
            </w:r>
            <w:r>
              <w:rPr>
                <w:rFonts w:hint="eastAsia" w:ascii="宋体" w:hAnsi="宋体" w:eastAsia="宋体" w:cs="Times New Roman"/>
                <w:color w:val="000000"/>
                <w:kern w:val="2"/>
                <w:sz w:val="21"/>
                <w:szCs w:val="21"/>
                <w:highlight w:val="none"/>
                <w:lang w:val="en-US" w:eastAsia="zh-CN" w:bidi="ar-SA"/>
              </w:rPr>
              <w:t>分</w:t>
            </w:r>
          </w:p>
        </w:tc>
        <w:tc>
          <w:tcPr>
            <w:tcW w:w="900" w:type="dxa"/>
            <w:vMerge w:val="continue"/>
            <w:noWrap w:val="0"/>
            <w:vAlign w:val="top"/>
          </w:tcPr>
          <w:p>
            <w:pPr>
              <w:widowControl/>
              <w:spacing w:line="400" w:lineRule="atLeast"/>
              <w:jc w:val="both"/>
              <w:textAlignment w:val="center"/>
              <w:rPr>
                <w:rFonts w:ascii="宋体" w:hAnsi="宋体" w:eastAsia="宋体" w:cs="Times New Roman"/>
                <w:color w:val="000000"/>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89" w:type="dxa"/>
            <w:vMerge w:val="continue"/>
            <w:noWrap w:val="0"/>
            <w:vAlign w:val="top"/>
          </w:tcPr>
          <w:p>
            <w:pPr>
              <w:widowControl/>
              <w:spacing w:line="400" w:lineRule="atLeast"/>
              <w:jc w:val="both"/>
              <w:textAlignment w:val="center"/>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textAlignment w:val="center"/>
              <w:rPr>
                <w:rFonts w:ascii="宋体" w:hAnsi="宋体" w:eastAsia="宋体" w:cs="Times New Roman"/>
                <w:color w:val="00000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4.跨部门健康行动</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相关部门针对当地突出的健康问题，</w:t>
            </w:r>
            <w:r>
              <w:rPr>
                <w:rFonts w:hint="eastAsia" w:ascii="宋体" w:hAnsi="宋体" w:eastAsia="宋体" w:cs="宋体"/>
                <w:color w:val="000000"/>
                <w:kern w:val="0"/>
                <w:szCs w:val="21"/>
                <w:highlight w:val="none"/>
                <w:lang w:val="en-US" w:eastAsia="zh-CN"/>
              </w:rPr>
              <w:t>开展跨</w:t>
            </w:r>
            <w:r>
              <w:rPr>
                <w:rFonts w:hint="eastAsia" w:ascii="宋体" w:hAnsi="宋体" w:eastAsia="宋体" w:cs="宋体"/>
                <w:color w:val="000000"/>
                <w:kern w:val="0"/>
                <w:szCs w:val="21"/>
                <w:highlight w:val="none"/>
              </w:rPr>
              <w:t>部门</w:t>
            </w:r>
            <w:r>
              <w:rPr>
                <w:rFonts w:hint="eastAsia" w:ascii="宋体" w:hAnsi="宋体" w:eastAsia="宋体" w:cs="宋体"/>
                <w:color w:val="000000"/>
                <w:kern w:val="0"/>
                <w:szCs w:val="21"/>
                <w:highlight w:val="none"/>
                <w:lang w:val="en-US" w:eastAsia="zh-CN"/>
              </w:rPr>
              <w:t>行动</w:t>
            </w:r>
            <w:r>
              <w:rPr>
                <w:rFonts w:hint="eastAsia" w:ascii="宋体" w:hAnsi="宋体" w:eastAsia="宋体" w:cs="宋体"/>
                <w:color w:val="000000"/>
                <w:kern w:val="0"/>
                <w:szCs w:val="21"/>
                <w:highlight w:val="none"/>
              </w:rPr>
              <w:t>。</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查阅资料：相关公共政策。</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资料来源：文件印发部门。</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以多部门联合方式出台相关健康文件，每项文件得4分（针对同一健康问题如有多个文件，算作1项，如某地针对艾滋病防控出台多</w:t>
            </w:r>
            <w:r>
              <w:rPr>
                <w:rFonts w:hint="eastAsia" w:ascii="宋体" w:hAnsi="宋体" w:cs="宋体"/>
                <w:color w:val="000000"/>
                <w:kern w:val="0"/>
                <w:sz w:val="21"/>
                <w:szCs w:val="21"/>
                <w:highlight w:val="none"/>
                <w:lang w:val="en-US" w:eastAsia="zh-CN" w:bidi="ar-SA"/>
              </w:rPr>
              <w:t>个</w:t>
            </w:r>
            <w:r>
              <w:rPr>
                <w:rFonts w:hint="eastAsia" w:ascii="宋体" w:hAnsi="宋体" w:eastAsia="宋体" w:cs="宋体"/>
                <w:color w:val="000000"/>
                <w:kern w:val="0"/>
                <w:sz w:val="21"/>
                <w:szCs w:val="21"/>
                <w:highlight w:val="none"/>
                <w:lang w:val="en-US" w:eastAsia="zh-CN" w:bidi="ar-SA"/>
              </w:rPr>
              <w:t>文件，仅能视为1项），满分为</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0分；未出台文件</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tc>
        <w:tc>
          <w:tcPr>
            <w:tcW w:w="696" w:type="dxa"/>
            <w:noWrap w:val="0"/>
            <w:vAlign w:val="top"/>
          </w:tcPr>
          <w:p>
            <w:pPr>
              <w:widowControl/>
              <w:spacing w:line="400" w:lineRule="atLeast"/>
              <w:jc w:val="both"/>
              <w:textAlignment w:val="center"/>
              <w:rPr>
                <w:rFonts w:ascii="宋体" w:hAnsi="宋体" w:eastAsia="宋体" w:cs="Times New Roman"/>
                <w:color w:val="000000"/>
                <w:kern w:val="2"/>
                <w:sz w:val="21"/>
                <w:szCs w:val="21"/>
                <w:highlight w:val="none"/>
                <w:lang w:val="en-US" w:eastAsia="zh-CN" w:bidi="ar-SA"/>
              </w:rPr>
            </w:pPr>
            <w:r>
              <w:rPr>
                <w:rFonts w:ascii="宋体" w:hAnsi="宋体" w:eastAsia="宋体" w:cs="Times New Roman"/>
                <w:color w:val="000000"/>
                <w:kern w:val="2"/>
                <w:sz w:val="21"/>
                <w:szCs w:val="21"/>
                <w:highlight w:val="none"/>
                <w:lang w:val="en-US" w:eastAsia="zh-CN" w:bidi="ar-SA"/>
              </w:rPr>
              <w:t>2</w:t>
            </w:r>
            <w:r>
              <w:rPr>
                <w:rFonts w:hint="eastAsia" w:ascii="宋体" w:hAnsi="宋体" w:eastAsia="宋体" w:cs="Times New Roman"/>
                <w:color w:val="000000"/>
                <w:kern w:val="2"/>
                <w:sz w:val="21"/>
                <w:szCs w:val="21"/>
                <w:highlight w:val="none"/>
                <w:lang w:val="en-US" w:eastAsia="zh-CN" w:bidi="ar-SA"/>
              </w:rPr>
              <w:t>0分</w:t>
            </w:r>
          </w:p>
        </w:tc>
        <w:tc>
          <w:tcPr>
            <w:tcW w:w="900" w:type="dxa"/>
            <w:vMerge w:val="continue"/>
            <w:noWrap w:val="0"/>
            <w:vAlign w:val="top"/>
          </w:tcPr>
          <w:p>
            <w:pPr>
              <w:widowControl/>
              <w:spacing w:line="400" w:lineRule="atLeast"/>
              <w:jc w:val="both"/>
              <w:textAlignment w:val="center"/>
              <w:rPr>
                <w:rFonts w:ascii="宋体" w:hAnsi="宋体" w:eastAsia="宋体" w:cs="Times New Roman"/>
                <w:color w:val="000000"/>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第八条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5.相关部门履行健康责任</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非卫生健康部门根据健康县区建设任务分工，各自出台落实</w:t>
            </w:r>
            <w:r>
              <w:rPr>
                <w:rFonts w:hint="eastAsia" w:ascii="宋体" w:hAnsi="宋体" w:eastAsia="宋体" w:cs="宋体"/>
                <w:color w:val="000000"/>
                <w:kern w:val="0"/>
                <w:szCs w:val="21"/>
                <w:highlight w:val="none"/>
                <w:lang w:val="en-US" w:eastAsia="zh-CN"/>
              </w:rPr>
              <w:t>文件</w:t>
            </w:r>
            <w:r>
              <w:rPr>
                <w:rFonts w:hint="eastAsia" w:ascii="宋体" w:hAnsi="宋体" w:eastAsia="宋体" w:cs="宋体"/>
                <w:color w:val="000000"/>
                <w:kern w:val="0"/>
                <w:szCs w:val="21"/>
                <w:highlight w:val="none"/>
              </w:rPr>
              <w:t>。</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w:t>
            </w:r>
            <w:r>
              <w:rPr>
                <w:rFonts w:hint="eastAsia" w:ascii="宋体" w:hAnsi="宋体" w:cs="宋体"/>
                <w:color w:val="000000"/>
                <w:kern w:val="0"/>
                <w:szCs w:val="21"/>
                <w:highlight w:val="none"/>
                <w:lang w:val="en-US" w:eastAsia="zh-CN"/>
              </w:rPr>
              <w:t>非卫生健康部门出台的</w:t>
            </w:r>
            <w:r>
              <w:rPr>
                <w:rFonts w:hint="eastAsia" w:ascii="宋体" w:hAnsi="宋体" w:eastAsia="宋体" w:cs="宋体"/>
                <w:color w:val="000000"/>
                <w:kern w:val="0"/>
                <w:szCs w:val="21"/>
                <w:highlight w:val="none"/>
              </w:rPr>
              <w:t>相关</w:t>
            </w:r>
            <w:r>
              <w:rPr>
                <w:rFonts w:hint="eastAsia" w:ascii="宋体" w:hAnsi="宋体" w:eastAsia="宋体" w:cs="宋体"/>
                <w:color w:val="000000"/>
                <w:kern w:val="0"/>
                <w:szCs w:val="21"/>
                <w:highlight w:val="none"/>
                <w:lang w:val="en-US" w:eastAsia="zh-CN"/>
              </w:rPr>
              <w:t>文件</w:t>
            </w:r>
            <w:r>
              <w:rPr>
                <w:rFonts w:hint="eastAsia" w:ascii="宋体" w:hAnsi="宋体" w:eastAsia="宋体" w:cs="宋体"/>
                <w:color w:val="000000"/>
                <w:kern w:val="0"/>
                <w:szCs w:val="21"/>
                <w:highlight w:val="none"/>
              </w:rPr>
              <w:t>。</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w:t>
            </w:r>
            <w:r>
              <w:rPr>
                <w:rFonts w:hint="eastAsia" w:ascii="宋体" w:hAnsi="宋体" w:eastAsia="宋体" w:cs="宋体"/>
                <w:color w:val="000000"/>
                <w:kern w:val="0"/>
                <w:sz w:val="21"/>
                <w:szCs w:val="21"/>
                <w:highlight w:val="none"/>
                <w:lang w:val="en-US" w:eastAsia="zh-CN"/>
              </w:rPr>
              <w:t>文件印发部门</w:t>
            </w:r>
            <w:r>
              <w:rPr>
                <w:rFonts w:hint="eastAsia" w:ascii="宋体" w:hAnsi="宋体" w:eastAsia="宋体" w:cs="宋体"/>
                <w:color w:val="000000"/>
                <w:kern w:val="0"/>
                <w:sz w:val="21"/>
                <w:szCs w:val="21"/>
                <w:highlight w:val="none"/>
              </w:rPr>
              <w:t>。</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健康县区建设任务分工</w:t>
            </w:r>
            <w:r>
              <w:rPr>
                <w:rFonts w:hint="eastAsia" w:ascii="宋体" w:hAnsi="宋体" w:cs="宋体"/>
                <w:color w:val="000000"/>
                <w:kern w:val="0"/>
                <w:szCs w:val="21"/>
                <w:highlight w:val="none"/>
                <w:lang w:val="en-US" w:eastAsia="zh-CN"/>
              </w:rPr>
              <w:t>所</w:t>
            </w:r>
            <w:r>
              <w:rPr>
                <w:rFonts w:hint="eastAsia" w:ascii="宋体" w:hAnsi="宋体" w:eastAsia="宋体" w:cs="宋体"/>
                <w:color w:val="000000"/>
                <w:kern w:val="0"/>
                <w:szCs w:val="21"/>
                <w:highlight w:val="none"/>
              </w:rPr>
              <w:t>涉及到的非卫生</w:t>
            </w:r>
            <w:r>
              <w:rPr>
                <w:rFonts w:hint="eastAsia" w:ascii="宋体" w:hAnsi="宋体" w:cs="宋体"/>
                <w:color w:val="000000"/>
                <w:kern w:val="0"/>
                <w:szCs w:val="21"/>
                <w:highlight w:val="none"/>
                <w:lang w:val="en-US" w:eastAsia="zh-CN"/>
              </w:rPr>
              <w:t>健康</w:t>
            </w:r>
            <w:r>
              <w:rPr>
                <w:rFonts w:hint="eastAsia" w:ascii="宋体" w:hAnsi="宋体" w:eastAsia="宋体" w:cs="宋体"/>
                <w:color w:val="000000"/>
                <w:kern w:val="0"/>
                <w:szCs w:val="21"/>
                <w:highlight w:val="none"/>
              </w:rPr>
              <w:t>部门中，出台落实</w:t>
            </w:r>
            <w:r>
              <w:rPr>
                <w:rFonts w:hint="eastAsia" w:ascii="宋体" w:hAnsi="宋体" w:eastAsia="宋体" w:cs="宋体"/>
                <w:color w:val="000000"/>
                <w:kern w:val="0"/>
                <w:szCs w:val="21"/>
                <w:highlight w:val="none"/>
                <w:lang w:val="en-US" w:eastAsia="zh-CN"/>
              </w:rPr>
              <w:t>文件</w:t>
            </w:r>
            <w:r>
              <w:rPr>
                <w:rFonts w:hint="eastAsia" w:ascii="宋体" w:hAnsi="宋体" w:eastAsia="宋体" w:cs="宋体"/>
                <w:color w:val="000000"/>
                <w:kern w:val="0"/>
                <w:szCs w:val="21"/>
                <w:highlight w:val="none"/>
              </w:rPr>
              <w:t>的部门占比达到100%，得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0分；未达到100%者按实际比例得分；非卫生</w:t>
            </w:r>
            <w:r>
              <w:rPr>
                <w:rFonts w:hint="eastAsia" w:ascii="宋体" w:hAnsi="宋体" w:cs="宋体"/>
                <w:color w:val="000000"/>
                <w:kern w:val="0"/>
                <w:szCs w:val="21"/>
                <w:highlight w:val="none"/>
                <w:lang w:val="en-US" w:eastAsia="zh-CN"/>
              </w:rPr>
              <w:t>健康</w:t>
            </w:r>
            <w:r>
              <w:rPr>
                <w:rFonts w:hint="eastAsia" w:ascii="宋体" w:hAnsi="宋体" w:eastAsia="宋体" w:cs="宋体"/>
                <w:color w:val="000000"/>
                <w:kern w:val="0"/>
                <w:szCs w:val="21"/>
                <w:highlight w:val="none"/>
              </w:rPr>
              <w:t>部门未出台落实</w:t>
            </w:r>
            <w:r>
              <w:rPr>
                <w:rFonts w:hint="eastAsia" w:ascii="宋体" w:hAnsi="宋体" w:eastAsia="宋体" w:cs="宋体"/>
                <w:color w:val="000000"/>
                <w:kern w:val="0"/>
                <w:szCs w:val="21"/>
                <w:highlight w:val="none"/>
                <w:lang w:val="en-US" w:eastAsia="zh-CN"/>
              </w:rPr>
              <w:t>文件</w:t>
            </w:r>
            <w:r>
              <w:rPr>
                <w:rFonts w:hint="eastAsia" w:ascii="宋体" w:hAnsi="宋体" w:eastAsia="宋体" w:cs="宋体"/>
                <w:color w:val="000000"/>
                <w:kern w:val="0"/>
                <w:szCs w:val="21"/>
                <w:highlight w:val="none"/>
              </w:rPr>
              <w:t>，不得分。</w:t>
            </w:r>
          </w:p>
        </w:tc>
        <w:tc>
          <w:tcPr>
            <w:tcW w:w="696" w:type="dxa"/>
            <w:noWrap w:val="0"/>
            <w:vAlign w:val="top"/>
          </w:tcPr>
          <w:p>
            <w:pPr>
              <w:widowControl/>
              <w:spacing w:line="400" w:lineRule="atLeast"/>
              <w:jc w:val="both"/>
              <w:rPr>
                <w:rFonts w:ascii="宋体" w:hAnsi="宋体" w:eastAsia="宋体" w:cs="Times New Roman"/>
                <w:color w:val="000000"/>
                <w:kern w:val="2"/>
                <w:sz w:val="21"/>
                <w:szCs w:val="21"/>
                <w:highlight w:val="none"/>
                <w:lang w:val="en-US" w:eastAsia="zh-CN" w:bidi="ar-SA"/>
              </w:rPr>
            </w:pPr>
            <w:r>
              <w:rPr>
                <w:rFonts w:ascii="宋体" w:hAnsi="宋体" w:eastAsia="宋体" w:cs="Times New Roman"/>
                <w:color w:val="000000"/>
                <w:kern w:val="2"/>
                <w:sz w:val="21"/>
                <w:szCs w:val="21"/>
                <w:highlight w:val="none"/>
                <w:lang w:val="en-US" w:eastAsia="zh-CN" w:bidi="ar-SA"/>
              </w:rPr>
              <w:t>2</w:t>
            </w:r>
            <w:r>
              <w:rPr>
                <w:rFonts w:hint="eastAsia" w:ascii="宋体" w:hAnsi="宋体" w:eastAsia="宋体" w:cs="Times New Roman"/>
                <w:color w:val="000000"/>
                <w:kern w:val="2"/>
                <w:sz w:val="21"/>
                <w:szCs w:val="21"/>
                <w:highlight w:val="none"/>
                <w:lang w:val="en-US" w:eastAsia="zh-CN" w:bidi="ar-SA"/>
              </w:rPr>
              <w:t>0分</w:t>
            </w:r>
          </w:p>
        </w:tc>
        <w:tc>
          <w:tcPr>
            <w:tcW w:w="900" w:type="dxa"/>
            <w:vMerge w:val="continue"/>
            <w:noWrap w:val="0"/>
            <w:vAlign w:val="top"/>
          </w:tcPr>
          <w:p>
            <w:pPr>
              <w:widowControl/>
              <w:spacing w:line="400" w:lineRule="atLeast"/>
              <w:jc w:val="both"/>
              <w:rPr>
                <w:rFonts w:ascii="宋体" w:hAnsi="宋体" w:eastAsia="宋体" w:cs="Times New Roman"/>
                <w:color w:val="000000"/>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第九条</w:t>
            </w: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rPr>
              <w:t>.健康影响评估制度建设</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初步建立健康影响评估制度，出台相关文件，明确部门职责，明确评估范围和机制，明确日常办事机构和办事流程，建立专家委员会。</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查阅资料：健康影响评估制度建设相关文件。</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资料来源：健康影响评估办事机构、相关部门等。</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1.印发专门文件，得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分；未印发</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2.明确评估范围，得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分；未明确</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3.明确评估机制，得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分；未明确</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4.明确办事机构，得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分；未明确</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5.建立部门工作网络，得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分；未建立</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6.组建专家委员会，得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分；未组建</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（如仅开展公共政策健康审查，尚未系统建立健康影响评估制度，该指标得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w:t>
            </w:r>
            <w:r>
              <w:rPr>
                <w:rFonts w:ascii="宋体" w:hAnsi="宋体" w:eastAsia="宋体" w:cs="宋体"/>
                <w:color w:val="000000"/>
                <w:kern w:val="0"/>
                <w:sz w:val="21"/>
                <w:szCs w:val="21"/>
                <w:highlight w:val="none"/>
                <w:lang w:val="en-US" w:eastAsia="zh-CN" w:bidi="ar-SA"/>
              </w:rPr>
              <w:t>14</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Times New Roman"/>
                <w:szCs w:val="21"/>
                <w:highlight w:val="none"/>
              </w:rPr>
            </w:pPr>
            <w:r>
              <w:rPr>
                <w:rFonts w:ascii="宋体" w:hAnsi="宋体" w:eastAsia="宋体" w:cs="仿宋"/>
                <w:kern w:val="0"/>
                <w:szCs w:val="21"/>
                <w:highlight w:val="none"/>
              </w:rPr>
              <w:t>14</w:t>
            </w:r>
            <w:r>
              <w:rPr>
                <w:rFonts w:hint="eastAsia" w:ascii="宋体" w:hAnsi="宋体" w:eastAsia="宋体" w:cs="仿宋"/>
                <w:kern w:val="0"/>
                <w:szCs w:val="21"/>
                <w:highlight w:val="none"/>
              </w:rPr>
              <w:t>分</w:t>
            </w:r>
          </w:p>
        </w:tc>
        <w:tc>
          <w:tcPr>
            <w:tcW w:w="900" w:type="dxa"/>
            <w:vMerge w:val="restart"/>
            <w:noWrap w:val="0"/>
            <w:vAlign w:val="top"/>
          </w:tcPr>
          <w:p>
            <w:pPr>
              <w:widowControl/>
              <w:jc w:val="both"/>
              <w:rPr>
                <w:rFonts w:hint="default"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见附录2：1、2、3、4。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textAlignment w:val="center"/>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7</w:t>
            </w:r>
            <w:r>
              <w:rPr>
                <w:rFonts w:hint="eastAsia" w:ascii="宋体" w:hAnsi="宋体" w:eastAsia="宋体" w:cs="宋体"/>
                <w:color w:val="000000"/>
                <w:kern w:val="0"/>
                <w:szCs w:val="21"/>
                <w:highlight w:val="none"/>
              </w:rPr>
              <w:t>.公共政策健康影响评估</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近1年内，对当地拟下发的公共政策开展健康影响评价，提出修改建议，政策制订部门采纳或部分采纳后正式下发。</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查阅资料：开展健康影响评价的相关文件、工作记录及工作报告等。</w:t>
            </w:r>
          </w:p>
          <w:p>
            <w:pPr>
              <w:widowControl/>
              <w:jc w:val="both"/>
              <w:rPr>
                <w:rFonts w:hint="default"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资料来源：健康影响评估办事机构、相关部门等。</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对于当地方案中要求进行评估的公共政策，评估完成率达到100%，得8分；</w:t>
            </w:r>
            <w:r>
              <w:rPr>
                <w:rFonts w:hint="eastAsia" w:ascii="宋体" w:hAnsi="宋体" w:eastAsia="宋体" w:cs="宋体"/>
                <w:color w:val="000000"/>
                <w:kern w:val="0"/>
                <w:sz w:val="24"/>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5</w:t>
            </w:r>
            <w:r>
              <w:rPr>
                <w:rFonts w:ascii="宋体" w:hAnsi="宋体" w:eastAsia="宋体" w:cs="宋体"/>
                <w:color w:val="000000"/>
                <w:kern w:val="0"/>
                <w:sz w:val="21"/>
                <w:szCs w:val="21"/>
                <w:highlight w:val="none"/>
                <w:lang w:val="en-US" w:eastAsia="zh-CN" w:bidi="ar-SA"/>
              </w:rPr>
              <w:t>0</w:t>
            </w:r>
            <w:r>
              <w:rPr>
                <w:rFonts w:hint="eastAsia" w:ascii="宋体" w:hAnsi="宋体" w:eastAsia="宋体" w:cs="宋体"/>
                <w:color w:val="000000"/>
                <w:kern w:val="0"/>
                <w:sz w:val="21"/>
                <w:szCs w:val="21"/>
                <w:highlight w:val="none"/>
                <w:lang w:val="en-US" w:eastAsia="zh-CN" w:bidi="ar-SA"/>
              </w:rPr>
              <w:t>%且＜100%，得4分；仅对若干政策选择性评估，得2分；未开展评估</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tc>
        <w:tc>
          <w:tcPr>
            <w:tcW w:w="696" w:type="dxa"/>
            <w:noWrap w:val="0"/>
            <w:vAlign w:val="top"/>
          </w:tcPr>
          <w:p>
            <w:pPr>
              <w:widowControl/>
              <w:spacing w:line="400" w:lineRule="atLeast"/>
              <w:jc w:val="both"/>
              <w:rPr>
                <w:rFonts w:ascii="宋体" w:hAnsi="宋体" w:eastAsia="宋体" w:cs="Times New Roman"/>
                <w:szCs w:val="21"/>
                <w:highlight w:val="none"/>
              </w:rPr>
            </w:pPr>
            <w:r>
              <w:rPr>
                <w:rFonts w:hint="eastAsia" w:ascii="宋体" w:hAnsi="宋体" w:eastAsia="宋体" w:cs="仿宋"/>
                <w:kern w:val="0"/>
                <w:szCs w:val="21"/>
                <w:highlight w:val="none"/>
              </w:rPr>
              <w:t>8分</w:t>
            </w:r>
          </w:p>
        </w:tc>
        <w:tc>
          <w:tcPr>
            <w:tcW w:w="900" w:type="dxa"/>
            <w:vMerge w:val="continue"/>
            <w:noWrap w:val="0"/>
            <w:vAlign w:val="top"/>
          </w:tcPr>
          <w:p>
            <w:pPr>
              <w:widowControl/>
              <w:spacing w:line="400" w:lineRule="atLeast"/>
              <w:jc w:val="both"/>
              <w:rPr>
                <w:rFonts w:ascii="宋体" w:hAnsi="宋体" w:eastAsia="宋体" w:cs="仿宋"/>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8</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重大工程项目健康影响评估</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近1年内，对当地拟建重大工程项目开展健康影响评价，提出修改建议，工程项目负责部门采纳或部分采纳。</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查阅资料：开展健康影响评价的相关文件、工作记录及工作报告等。</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资料来源：健康影响评估办事机构、相关部门等。</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对于当地方案中要求进行评估的重大工程项目，评估完成率达到100%，得8分；≥50%且＜100%，得4分；仅对若干工程项目选择性评估，得2分；未开展评估</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tc>
        <w:tc>
          <w:tcPr>
            <w:tcW w:w="696" w:type="dxa"/>
            <w:noWrap w:val="0"/>
            <w:vAlign w:val="top"/>
          </w:tcPr>
          <w:p>
            <w:pPr>
              <w:widowControl/>
              <w:spacing w:line="400" w:lineRule="atLeast"/>
              <w:jc w:val="both"/>
              <w:rPr>
                <w:rFonts w:ascii="宋体" w:hAnsi="宋体" w:eastAsia="宋体" w:cs="Times New Roman"/>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8分</w:t>
            </w:r>
          </w:p>
        </w:tc>
        <w:tc>
          <w:tcPr>
            <w:tcW w:w="900" w:type="dxa"/>
            <w:vMerge w:val="continue"/>
            <w:noWrap w:val="0"/>
            <w:vAlign w:val="top"/>
          </w:tcPr>
          <w:p>
            <w:pPr>
              <w:widowControl/>
              <w:spacing w:line="400" w:lineRule="atLeast"/>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589" w:type="dxa"/>
            <w:vMerge w:val="restart"/>
            <w:noWrap w:val="0"/>
            <w:vAlign w:val="top"/>
          </w:tcPr>
          <w:p>
            <w:pPr>
              <w:widowControl/>
              <w:spacing w:line="400" w:lineRule="atLeast"/>
              <w:jc w:val="both"/>
              <w:rPr>
                <w:rFonts w:ascii="宋体" w:hAnsi="宋体" w:eastAsia="宋体" w:cs="Times New Roman"/>
                <w:color w:val="000000"/>
                <w:szCs w:val="21"/>
                <w:highlight w:val="none"/>
              </w:rPr>
            </w:pPr>
            <w:r>
              <w:rPr>
                <w:rFonts w:ascii="宋体" w:hAnsi="宋体" w:eastAsia="宋体" w:cs="Times New Roman"/>
                <w:b/>
                <w:color w:val="000000"/>
                <w:szCs w:val="21"/>
                <w:highlight w:val="none"/>
              </w:rPr>
              <w:t>二</w:t>
            </w:r>
            <w:r>
              <w:rPr>
                <w:rFonts w:hint="eastAsia" w:ascii="宋体" w:hAnsi="宋体" w:cs="Times New Roman"/>
                <w:b/>
                <w:color w:val="000000"/>
                <w:szCs w:val="21"/>
                <w:highlight w:val="none"/>
                <w:lang w:eastAsia="zh-CN"/>
              </w:rPr>
              <w:t>、</w:t>
            </w:r>
            <w:r>
              <w:rPr>
                <w:rFonts w:ascii="宋体" w:hAnsi="宋体" w:eastAsia="宋体" w:cs="Times New Roman"/>
                <w:b/>
                <w:color w:val="000000"/>
                <w:szCs w:val="21"/>
                <w:highlight w:val="none"/>
              </w:rPr>
              <w:t>健康环境</w:t>
            </w:r>
          </w:p>
        </w:tc>
        <w:tc>
          <w:tcPr>
            <w:tcW w:w="6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第十条</w:t>
            </w: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9.县区人居环境</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通过完善供水、排水、供电、供气、道路、通信、广播电视、环卫等基础设施提升县区健康环境；通过绿化、亮化、美化、净化等具体措施改善县区人居环境。</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查阅资料：市政基础设施专项规划及开展建设佐证资料；道路及周边环境综合整治改造提升工程相关资料。</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资料来源：住房和城乡建设主管部门。</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1.按照市政基础设施专项规划建设健康环境设施，得6分；未按规划建设，不得分。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2.开展道路及周边环境综合整治改造提升人居工程，得6分；未开展</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该指标满分为12分。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12分</w:t>
            </w:r>
          </w:p>
        </w:tc>
        <w:tc>
          <w:tcPr>
            <w:tcW w:w="900"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见附录2：5、6、7、8、9、10、11。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10</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无障碍设施</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按照《建筑与市政工程无障碍通用规范》要求，建设和运行维护人行道、盲道、人行过街设施以及出入口、无障碍卫生间（无障碍厕位）、低位服务设施、无障碍停车位、无障碍标志等无障碍设施，满足相关人群出行需求。</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现场抽查：随机抽查</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个城区居民小区和1家当地较大规模的商场，现场查看无障碍设施的建设情况。</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在抽查的场所中，至少建有盲道、无障碍卫生间（厕位）、出入口无障碍设施、低位服务设施、无障碍停车位、无障碍标志这6种无障碍设施的3种及以上，得4分；＜3种</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得2分；未建设无障碍设施</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不得分；2个抽查场所满分为8分。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8分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第十条</w:t>
            </w: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11.健康主题公园</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建设和管理健康主题公园，向公众传播健康知识，促进公众身体活动。</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现场抽查：随机抽查1个健康主题公园，依据下列标准进行评分：（其中第5条查阅资料，其余现场查看。）</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公园内有禁烟标识（</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分）。2</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位置便利，环境优美，配有休息椅凳等设施，至少有1条健康步道（</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分）。3</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配备适合儿童青少年等不同人群身体锻炼的体育设施,且设施器材可正常使用（</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分）。4</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定期更新健康宣传材料（</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w:t>
            </w:r>
            <w:r>
              <w:rPr>
                <w:rFonts w:ascii="宋体" w:hAnsi="宋体" w:eastAsia="宋体" w:cs="宋体"/>
                <w:color w:val="000000"/>
                <w:kern w:val="0"/>
                <w:sz w:val="21"/>
                <w:szCs w:val="21"/>
                <w:highlight w:val="none"/>
                <w:lang w:val="en-US" w:eastAsia="zh-CN" w:bidi="ar-SA"/>
              </w:rPr>
              <w:t>5</w:t>
            </w:r>
            <w:r>
              <w:rPr>
                <w:rFonts w:hint="eastAsia" w:ascii="宋体" w:hAnsi="宋体" w:eastAsia="宋体" w:cs="宋体"/>
                <w:color w:val="000000"/>
                <w:kern w:val="0"/>
                <w:sz w:val="21"/>
                <w:szCs w:val="21"/>
                <w:highlight w:val="none"/>
                <w:lang w:val="en-US" w:eastAsia="zh-CN" w:bidi="ar-SA"/>
              </w:rPr>
              <w:t>.</w:t>
            </w:r>
            <w:r>
              <w:rPr>
                <w:rFonts w:ascii="宋体" w:hAnsi="宋体" w:eastAsia="宋体" w:cs="宋体"/>
                <w:color w:val="000000"/>
                <w:kern w:val="0"/>
                <w:sz w:val="21"/>
                <w:szCs w:val="21"/>
                <w:highlight w:val="none"/>
                <w:lang w:val="en-US" w:eastAsia="zh-CN" w:bidi="ar-SA"/>
              </w:rPr>
              <w:t>开展健康生活方式宣传活动</w:t>
            </w:r>
            <w:r>
              <w:rPr>
                <w:rFonts w:hint="eastAsia" w:ascii="宋体" w:hAnsi="宋体" w:eastAsia="宋体" w:cs="宋体"/>
                <w:color w:val="000000"/>
                <w:kern w:val="0"/>
                <w:sz w:val="21"/>
                <w:szCs w:val="21"/>
                <w:highlight w:val="none"/>
                <w:lang w:val="en-US" w:eastAsia="zh-CN" w:bidi="ar-SA"/>
              </w:rPr>
              <w:t>（</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w:t>
            </w:r>
            <w:r>
              <w:rPr>
                <w:rFonts w:ascii="宋体" w:hAnsi="宋体" w:eastAsia="宋体" w:cs="宋体"/>
                <w:color w:val="000000"/>
                <w:kern w:val="0"/>
                <w:sz w:val="21"/>
                <w:szCs w:val="21"/>
                <w:highlight w:val="none"/>
                <w:lang w:val="en-US" w:eastAsia="zh-CN" w:bidi="ar-SA"/>
              </w:rPr>
              <w:t>。</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符合1项，得1分，满分为5分；无健康主题公园</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tc>
        <w:tc>
          <w:tcPr>
            <w:tcW w:w="696" w:type="dxa"/>
            <w:noWrap w:val="0"/>
            <w:vAlign w:val="top"/>
          </w:tcPr>
          <w:p>
            <w:pPr>
              <w:widowControl/>
              <w:spacing w:line="400" w:lineRule="atLeast"/>
              <w:jc w:val="both"/>
              <w:rPr>
                <w:rFonts w:ascii="宋体" w:hAnsi="宋体" w:eastAsia="宋体" w:cs="Times New Roman"/>
                <w:szCs w:val="21"/>
                <w:highlight w:val="none"/>
              </w:rPr>
            </w:pPr>
            <w:r>
              <w:rPr>
                <w:rFonts w:hint="eastAsia" w:ascii="宋体" w:hAnsi="宋体" w:eastAsia="宋体" w:cs="仿宋"/>
                <w:kern w:val="0"/>
                <w:szCs w:val="21"/>
                <w:highlight w:val="none"/>
              </w:rPr>
              <w:t>5分</w:t>
            </w:r>
          </w:p>
        </w:tc>
        <w:tc>
          <w:tcPr>
            <w:tcW w:w="900"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val="0"/>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12</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健康步道</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在</w:t>
            </w:r>
            <w:r>
              <w:rPr>
                <w:rFonts w:ascii="宋体" w:hAnsi="宋体" w:eastAsia="宋体" w:cs="宋体"/>
                <w:color w:val="000000"/>
                <w:kern w:val="0"/>
                <w:sz w:val="21"/>
                <w:szCs w:val="21"/>
                <w:highlight w:val="none"/>
                <w:lang w:val="en-US" w:eastAsia="zh-CN" w:bidi="ar-SA"/>
              </w:rPr>
              <w:t>社区、单位、公园等公共场所</w:t>
            </w:r>
            <w:r>
              <w:rPr>
                <w:rFonts w:hint="eastAsia" w:ascii="宋体" w:hAnsi="宋体" w:eastAsia="宋体" w:cs="宋体"/>
                <w:color w:val="000000"/>
                <w:kern w:val="0"/>
                <w:sz w:val="21"/>
                <w:szCs w:val="21"/>
                <w:highlight w:val="none"/>
                <w:lang w:val="en-US" w:eastAsia="zh-CN" w:bidi="ar-SA"/>
              </w:rPr>
              <w:t>建设健康步道，</w:t>
            </w:r>
            <w:r>
              <w:rPr>
                <w:rFonts w:ascii="宋体" w:hAnsi="宋体" w:eastAsia="宋体" w:cs="宋体"/>
                <w:color w:val="000000"/>
                <w:kern w:val="0"/>
                <w:sz w:val="21"/>
                <w:szCs w:val="21"/>
                <w:highlight w:val="none"/>
                <w:lang w:val="en-US" w:eastAsia="zh-CN" w:bidi="ar-SA"/>
              </w:rPr>
              <w:t>供公众开展健步走等健身活动，获取健康知识和技能。</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现场抽查：随机抽查1条健康步道，依据下列标准进行评分：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1.设置健康标识（</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分）。2.位置便利，路面整洁安全，无车辆穿行（</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分）。3.步道宽度不小于1.2米，总长度不小于1000米或环形步道周长不小于300米（</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符合1项，得2分，满分为</w:t>
            </w:r>
            <w:r>
              <w:rPr>
                <w:rFonts w:ascii="宋体" w:hAnsi="宋体" w:eastAsia="宋体" w:cs="宋体"/>
                <w:color w:val="000000"/>
                <w:kern w:val="0"/>
                <w:sz w:val="21"/>
                <w:szCs w:val="21"/>
                <w:highlight w:val="none"/>
                <w:lang w:val="en-US" w:eastAsia="zh-CN" w:bidi="ar-SA"/>
              </w:rPr>
              <w:t>6</w:t>
            </w:r>
            <w:r>
              <w:rPr>
                <w:rFonts w:hint="eastAsia" w:ascii="宋体" w:hAnsi="宋体" w:eastAsia="宋体" w:cs="宋体"/>
                <w:color w:val="000000"/>
                <w:kern w:val="0"/>
                <w:sz w:val="21"/>
                <w:szCs w:val="21"/>
                <w:highlight w:val="none"/>
                <w:lang w:val="en-US" w:eastAsia="zh-CN" w:bidi="ar-SA"/>
              </w:rPr>
              <w:t>分；无健康步道</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tc>
        <w:tc>
          <w:tcPr>
            <w:tcW w:w="696" w:type="dxa"/>
            <w:noWrap w:val="0"/>
            <w:vAlign w:val="top"/>
          </w:tcPr>
          <w:p>
            <w:pPr>
              <w:widowControl/>
              <w:spacing w:line="400" w:lineRule="atLeast"/>
              <w:jc w:val="both"/>
              <w:rPr>
                <w:rFonts w:ascii="宋体" w:hAnsi="宋体" w:eastAsia="宋体" w:cs="Times New Roman"/>
                <w:kern w:val="2"/>
                <w:sz w:val="21"/>
                <w:szCs w:val="21"/>
                <w:highlight w:val="none"/>
                <w:lang w:val="en-US" w:eastAsia="zh-CN" w:bidi="ar-SA"/>
              </w:rPr>
            </w:pPr>
            <w:r>
              <w:rPr>
                <w:rFonts w:ascii="宋体" w:hAnsi="宋体" w:eastAsia="宋体" w:cs="仿宋"/>
                <w:kern w:val="2"/>
                <w:sz w:val="21"/>
                <w:szCs w:val="21"/>
                <w:highlight w:val="none"/>
                <w:lang w:val="en-US" w:eastAsia="zh-CN" w:bidi="ar-SA"/>
              </w:rPr>
              <w:t>6</w:t>
            </w:r>
            <w:r>
              <w:rPr>
                <w:rFonts w:hint="eastAsia" w:ascii="宋体" w:hAnsi="宋体" w:eastAsia="宋体" w:cs="仿宋"/>
                <w:kern w:val="2"/>
                <w:sz w:val="21"/>
                <w:szCs w:val="21"/>
                <w:highlight w:val="none"/>
                <w:lang w:val="en-US" w:eastAsia="zh-CN" w:bidi="ar-SA"/>
              </w:rPr>
              <w:t>分</w:t>
            </w:r>
          </w:p>
        </w:tc>
        <w:tc>
          <w:tcPr>
            <w:tcW w:w="900" w:type="dxa"/>
            <w:vMerge w:val="continue"/>
            <w:noWrap w:val="0"/>
            <w:vAlign w:val="top"/>
          </w:tcPr>
          <w:p>
            <w:pPr>
              <w:widowControl/>
              <w:spacing w:line="400" w:lineRule="atLeast"/>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val="0"/>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13</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绿道</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建设绿道，为市民绿色出行、游憩、休闲提供环境。</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现场抽查：随机抽查1条绿道，依据下列标准进行评分：</w:t>
            </w:r>
          </w:p>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w:t>
            </w:r>
            <w:r>
              <w:rPr>
                <w:rFonts w:ascii="宋体" w:hAnsi="宋体" w:eastAsia="宋体" w:cs="宋体"/>
                <w:color w:val="000000"/>
                <w:kern w:val="0"/>
                <w:sz w:val="21"/>
                <w:szCs w:val="21"/>
                <w:highlight w:val="none"/>
                <w:lang w:val="en-US" w:eastAsia="zh-CN" w:bidi="ar-SA"/>
              </w:rPr>
              <w:t>串联</w:t>
            </w:r>
            <w:r>
              <w:rPr>
                <w:rFonts w:hint="eastAsia" w:ascii="宋体" w:hAnsi="宋体" w:eastAsia="宋体" w:cs="宋体"/>
                <w:color w:val="000000"/>
                <w:kern w:val="0"/>
                <w:sz w:val="21"/>
                <w:szCs w:val="21"/>
                <w:highlight w:val="none"/>
                <w:lang w:val="en-US" w:eastAsia="zh-CN" w:bidi="ar-SA"/>
              </w:rPr>
              <w:t>公园绿地、广场、防护绿地等（</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分）。2.与公交、步行及自行车交通系统相衔接，设置指示、警示等标识（</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w:t>
            </w:r>
            <w:r>
              <w:rPr>
                <w:rFonts w:ascii="宋体" w:hAnsi="宋体" w:eastAsia="宋体" w:cs="宋体"/>
                <w:color w:val="000000"/>
                <w:kern w:val="0"/>
                <w:sz w:val="21"/>
                <w:szCs w:val="21"/>
                <w:highlight w:val="none"/>
                <w:lang w:val="en-US" w:eastAsia="zh-CN" w:bidi="ar-SA"/>
              </w:rPr>
              <w:t>3</w:t>
            </w:r>
            <w:r>
              <w:rPr>
                <w:rFonts w:hint="eastAsia" w:ascii="宋体" w:hAnsi="宋体" w:eastAsia="宋体" w:cs="宋体"/>
                <w:color w:val="000000"/>
                <w:kern w:val="0"/>
                <w:sz w:val="21"/>
                <w:szCs w:val="21"/>
                <w:highlight w:val="none"/>
                <w:lang w:val="en-US" w:eastAsia="zh-CN" w:bidi="ar-SA"/>
              </w:rPr>
              <w:t>.铺装材料透水防滑，与周边环境协调（</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分）。4.连接城乡居民点、公共空间及历史文化节点，设置科普解说及展示设施（</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w:t>
            </w:r>
            <w:r>
              <w:rPr>
                <w:rFonts w:ascii="宋体" w:hAnsi="宋体" w:eastAsia="宋体" w:cs="宋体"/>
                <w:color w:val="000000"/>
                <w:kern w:val="0"/>
                <w:sz w:val="21"/>
                <w:szCs w:val="21"/>
                <w:highlight w:val="none"/>
                <w:lang w:val="en-US" w:eastAsia="zh-CN" w:bidi="ar-SA"/>
              </w:rPr>
              <w:t>5</w:t>
            </w:r>
            <w:r>
              <w:rPr>
                <w:rFonts w:hint="eastAsia" w:ascii="宋体" w:hAnsi="宋体" w:eastAsia="宋体" w:cs="宋体"/>
                <w:color w:val="000000"/>
                <w:kern w:val="0"/>
                <w:sz w:val="21"/>
                <w:szCs w:val="21"/>
                <w:highlight w:val="none"/>
                <w:lang w:val="en-US" w:eastAsia="zh-CN" w:bidi="ar-SA"/>
              </w:rPr>
              <w:t>.步行道宽度不小于1.5m；自行车道宽度单向不小于1.5m，双向不小于3m（</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符合1项，得1分，满分为5分；无绿道</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tc>
        <w:tc>
          <w:tcPr>
            <w:tcW w:w="696" w:type="dxa"/>
            <w:noWrap w:val="0"/>
            <w:vAlign w:val="top"/>
          </w:tcPr>
          <w:p>
            <w:pPr>
              <w:widowControl/>
              <w:spacing w:line="400" w:lineRule="atLeast"/>
              <w:jc w:val="both"/>
              <w:rPr>
                <w:rFonts w:ascii="宋体" w:hAnsi="宋体" w:eastAsia="宋体" w:cs="Times New Roman"/>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5</w:t>
            </w:r>
            <w:r>
              <w:rPr>
                <w:rFonts w:hint="eastAsia" w:ascii="宋体" w:hAnsi="宋体" w:eastAsia="宋体" w:cs="Times New Roman"/>
                <w:kern w:val="2"/>
                <w:sz w:val="21"/>
                <w:szCs w:val="21"/>
                <w:highlight w:val="none"/>
                <w:lang w:val="en-US" w:eastAsia="zh-CN" w:bidi="ar-SA"/>
              </w:rPr>
              <w:t>分</w:t>
            </w:r>
          </w:p>
        </w:tc>
        <w:tc>
          <w:tcPr>
            <w:tcW w:w="900" w:type="dxa"/>
            <w:vMerge w:val="continue"/>
            <w:noWrap w:val="0"/>
            <w:vAlign w:val="top"/>
          </w:tcPr>
          <w:p>
            <w:pPr>
              <w:widowControl/>
              <w:spacing w:line="400" w:lineRule="atLeast"/>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14.农村人居环境</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通过实施农村厕所革命，开展农村生活污水和生活垃圾处理，改善农村基础设施，促进农村人居环境整治和美丽乡村建设，提高农村公共服务水平，促进乡村文明建设。</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查阅资料：农村人居环境整治和美丽乡村建设相关资料。</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资料来源：农业农村、乡村振兴、生态环境、住房和城乡建设等部门。</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1.实施美丽乡村建设，得4分；未实施</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2.开展农村人居环境整治行动，得4分；未开展</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该指标满分为8分。</w:t>
            </w:r>
          </w:p>
        </w:tc>
        <w:tc>
          <w:tcPr>
            <w:tcW w:w="696" w:type="dxa"/>
            <w:noWrap w:val="0"/>
            <w:vAlign w:val="top"/>
          </w:tcPr>
          <w:p>
            <w:pPr>
              <w:widowControl/>
              <w:spacing w:line="400" w:lineRule="atLeast"/>
              <w:jc w:val="both"/>
              <w:rPr>
                <w:rFonts w:ascii="宋体" w:hAnsi="宋体" w:eastAsia="宋体" w:cs="仿宋"/>
                <w:kern w:val="0"/>
                <w:szCs w:val="21"/>
                <w:highlight w:val="none"/>
              </w:rPr>
            </w:pPr>
            <w:r>
              <w:rPr>
                <w:rFonts w:hint="eastAsia" w:ascii="宋体" w:hAnsi="宋体" w:eastAsia="宋体" w:cs="仿宋"/>
                <w:kern w:val="0"/>
                <w:szCs w:val="21"/>
                <w:highlight w:val="none"/>
                <w:lang w:val="en-US" w:eastAsia="zh-CN"/>
              </w:rPr>
              <w:t>8</w:t>
            </w:r>
            <w:r>
              <w:rPr>
                <w:rFonts w:hint="eastAsia" w:ascii="宋体" w:hAnsi="宋体" w:eastAsia="宋体" w:cs="仿宋"/>
                <w:kern w:val="0"/>
                <w:szCs w:val="21"/>
                <w:highlight w:val="none"/>
              </w:rPr>
              <w:t>分</w:t>
            </w:r>
          </w:p>
        </w:tc>
        <w:tc>
          <w:tcPr>
            <w:tcW w:w="900"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第十一条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w:t>
            </w:r>
            <w:r>
              <w:rPr>
                <w:rFonts w:hint="eastAsia" w:ascii="宋体" w:hAnsi="宋体" w:eastAsia="宋体" w:cs="宋体"/>
                <w:color w:val="000000"/>
                <w:kern w:val="0"/>
                <w:szCs w:val="21"/>
                <w:highlight w:val="none"/>
                <w:lang w:val="en-US" w:eastAsia="zh-CN"/>
              </w:rPr>
              <w:t>5</w:t>
            </w:r>
            <w:r>
              <w:rPr>
                <w:rFonts w:hint="eastAsia" w:ascii="宋体" w:hAnsi="宋体" w:eastAsia="宋体" w:cs="宋体"/>
                <w:color w:val="000000"/>
                <w:kern w:val="0"/>
                <w:szCs w:val="21"/>
                <w:highlight w:val="none"/>
              </w:rPr>
              <w:t>.生态环境质量</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加强大气污染治理，环境空气质量、水环境质量、土壤环境质量等良好或持续改善；环境空气主要污染物包括温室气体排放达到要求；防治工业、建筑施工、交通运输和社会生活等噪声。</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查阅资料：上3年度生态环境质量相关监测数据、报告、行政处罚案件等。</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资料来源：生态环境部门。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1.上1年度环境空气质量优良天数</w:t>
            </w:r>
            <w:r>
              <w:rPr>
                <w:rFonts w:hint="eastAsia" w:ascii="Calibri" w:hAnsi="Calibri" w:eastAsia="宋体" w:cs="Times New Roman"/>
                <w:szCs w:val="24"/>
                <w:highlight w:val="none"/>
              </w:rPr>
              <w:t>高于全国同期平均水平</w:t>
            </w:r>
            <w:r>
              <w:rPr>
                <w:rFonts w:hint="eastAsia" w:ascii="宋体" w:hAnsi="宋体" w:eastAsia="宋体" w:cs="宋体"/>
                <w:color w:val="000000"/>
                <w:kern w:val="0"/>
                <w:szCs w:val="21"/>
                <w:highlight w:val="none"/>
              </w:rPr>
              <w:t>，得4分；≤全国同期水平但＞前1年水平，得2分；≤全国同期水平且≤前1年水平，不得分。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2.上1年度地表水水质达到或优于III类水的比例</w:t>
            </w:r>
            <w:r>
              <w:rPr>
                <w:rFonts w:hint="eastAsia" w:ascii="Calibri" w:hAnsi="Calibri" w:eastAsia="宋体" w:cs="Times New Roman"/>
                <w:szCs w:val="24"/>
                <w:highlight w:val="none"/>
              </w:rPr>
              <w:t>高于全国同期平均水平</w:t>
            </w:r>
            <w:r>
              <w:rPr>
                <w:rFonts w:hint="eastAsia" w:ascii="宋体" w:hAnsi="宋体" w:eastAsia="宋体" w:cs="宋体"/>
                <w:color w:val="000000"/>
                <w:kern w:val="0"/>
                <w:szCs w:val="21"/>
                <w:highlight w:val="none"/>
              </w:rPr>
              <w:t>，得3分；≤全国同期水平但＞前1年水平，得</w:t>
            </w:r>
            <w:r>
              <w:rPr>
                <w:rFonts w:hint="eastAsia" w:ascii="宋体" w:hAnsi="宋体" w:cs="宋体"/>
                <w:color w:val="000000"/>
                <w:kern w:val="0"/>
                <w:szCs w:val="21"/>
                <w:highlight w:val="none"/>
                <w:lang w:val="en-US" w:eastAsia="zh-CN"/>
              </w:rPr>
              <w:t>2</w:t>
            </w:r>
            <w:r>
              <w:rPr>
                <w:rFonts w:hint="eastAsia" w:ascii="宋体" w:hAnsi="宋体" w:eastAsia="宋体" w:cs="宋体"/>
                <w:color w:val="000000"/>
                <w:kern w:val="0"/>
                <w:szCs w:val="21"/>
                <w:highlight w:val="none"/>
              </w:rPr>
              <w:t>分；≤全国同期水平且≤前1年水平，不得分。</w:t>
            </w:r>
          </w:p>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3</w:t>
            </w:r>
            <w:r>
              <w:rPr>
                <w:rFonts w:hint="eastAsia" w:ascii="宋体" w:hAnsi="宋体" w:eastAsia="宋体" w:cs="宋体"/>
                <w:color w:val="000000"/>
                <w:kern w:val="0"/>
                <w:szCs w:val="21"/>
                <w:highlight w:val="none"/>
              </w:rPr>
              <w:t>.近3年地下水水质达到或优于III类水的比例保持稳定或持续改善，得3分；比例下降</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4.城市功能区声环境达标率达到功能区要求，得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分；未达到要求，不得分。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5.年内无噪声污染行政处罚案件，得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分；有案件，不得分。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4分。</w:t>
            </w:r>
          </w:p>
        </w:tc>
        <w:tc>
          <w:tcPr>
            <w:tcW w:w="6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4</w:t>
            </w:r>
            <w:r>
              <w:rPr>
                <w:rFonts w:ascii="宋体" w:hAnsi="宋体" w:eastAsia="宋体" w:cs="宋体"/>
                <w:color w:val="000000"/>
                <w:kern w:val="0"/>
                <w:szCs w:val="21"/>
                <w:highlight w:val="none"/>
              </w:rPr>
              <w:t>分</w:t>
            </w:r>
          </w:p>
        </w:tc>
        <w:tc>
          <w:tcPr>
            <w:tcW w:w="900"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cs="宋体"/>
                <w:color w:val="000000"/>
                <w:kern w:val="0"/>
                <w:szCs w:val="21"/>
                <w:highlight w:val="none"/>
                <w:lang w:val="en-US" w:eastAsia="zh-CN"/>
              </w:rPr>
              <w:t>见附录2：</w:t>
            </w:r>
            <w:r>
              <w:rPr>
                <w:rFonts w:hint="eastAsia" w:ascii="宋体" w:hAnsi="宋体" w:cs="宋体"/>
                <w:color w:val="000000"/>
                <w:kern w:val="0"/>
                <w:szCs w:val="21"/>
              </w:rPr>
              <w:t>14</w:t>
            </w: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15、16、17、18、19、20、21、22、23、24、25、26、27。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w:t>
            </w:r>
            <w:r>
              <w:rPr>
                <w:rFonts w:hint="eastAsia" w:ascii="宋体" w:hAnsi="宋体" w:eastAsia="宋体" w:cs="宋体"/>
                <w:color w:val="000000"/>
                <w:kern w:val="0"/>
                <w:szCs w:val="21"/>
                <w:highlight w:val="none"/>
                <w:lang w:val="en-US" w:eastAsia="zh-CN"/>
              </w:rPr>
              <w:t>6</w:t>
            </w:r>
            <w:r>
              <w:rPr>
                <w:rFonts w:hint="eastAsia" w:ascii="宋体" w:hAnsi="宋体" w:eastAsia="宋体" w:cs="宋体"/>
                <w:color w:val="000000"/>
                <w:kern w:val="0"/>
                <w:szCs w:val="21"/>
                <w:highlight w:val="none"/>
              </w:rPr>
              <w:t>.重特大环境污染事件</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采取综合防控措施，杜绝发生重特大环境污染事件；制定环境突发事件应急预案并进行演练。</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查阅资料：环境突发事件应急预案及其演练的工作记录、照片等。</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资料来源：生态环境及应急部门、相关企事业单位等。</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1.近3年辖区无重特大环境污染事件，得</w:t>
            </w:r>
            <w:r>
              <w:rPr>
                <w:rFonts w:hint="eastAsia" w:ascii="宋体" w:hAnsi="宋体" w:eastAsia="宋体" w:cs="宋体"/>
                <w:color w:val="000000"/>
                <w:kern w:val="0"/>
                <w:szCs w:val="21"/>
                <w:highlight w:val="none"/>
                <w:lang w:val="en-US" w:eastAsia="zh-CN"/>
              </w:rPr>
              <w:t>3</w:t>
            </w:r>
            <w:r>
              <w:rPr>
                <w:rFonts w:hint="eastAsia" w:ascii="宋体" w:hAnsi="宋体" w:eastAsia="宋体" w:cs="宋体"/>
                <w:color w:val="000000"/>
                <w:kern w:val="0"/>
                <w:szCs w:val="21"/>
                <w:highlight w:val="none"/>
              </w:rPr>
              <w:t>分；有重特大环境污染事件</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2.制定环境突发事件应急预案并进行演练</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得</w:t>
            </w:r>
            <w:r>
              <w:rPr>
                <w:rFonts w:hint="eastAsia" w:ascii="宋体" w:hAnsi="宋体" w:eastAsia="宋体" w:cs="宋体"/>
                <w:color w:val="000000"/>
                <w:kern w:val="0"/>
                <w:szCs w:val="21"/>
                <w:highlight w:val="none"/>
                <w:lang w:val="en-US" w:eastAsia="zh-CN"/>
              </w:rPr>
              <w:t>3</w:t>
            </w:r>
            <w:r>
              <w:rPr>
                <w:rFonts w:hint="eastAsia" w:ascii="宋体" w:hAnsi="宋体" w:eastAsia="宋体" w:cs="宋体"/>
                <w:color w:val="000000"/>
                <w:kern w:val="0"/>
                <w:szCs w:val="21"/>
                <w:highlight w:val="none"/>
              </w:rPr>
              <w:t>分；</w:t>
            </w:r>
            <w:r>
              <w:rPr>
                <w:rFonts w:hint="eastAsia" w:ascii="宋体" w:hAnsi="宋体" w:cs="宋体"/>
                <w:color w:val="000000"/>
                <w:kern w:val="0"/>
                <w:szCs w:val="21"/>
                <w:highlight w:val="none"/>
                <w:lang w:val="en-US" w:eastAsia="zh-CN"/>
              </w:rPr>
              <w:t>制定预案但未进行演练，得2分；</w:t>
            </w:r>
            <w:r>
              <w:rPr>
                <w:rFonts w:hint="eastAsia" w:ascii="宋体" w:hAnsi="宋体" w:eastAsia="宋体" w:cs="宋体"/>
                <w:color w:val="000000"/>
                <w:kern w:val="0"/>
                <w:szCs w:val="21"/>
                <w:highlight w:val="none"/>
              </w:rPr>
              <w:t>未制定预案</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r>
              <w:rPr>
                <w:rFonts w:hint="eastAsia" w:ascii="宋体" w:hAnsi="宋体" w:eastAsia="宋体" w:cs="宋体"/>
                <w:color w:val="000000"/>
                <w:kern w:val="0"/>
                <w:szCs w:val="21"/>
                <w:highlight w:val="none"/>
                <w:lang w:eastAsia="zh-CN"/>
              </w:rPr>
              <w:t>。</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该指标满分为6分。</w:t>
            </w:r>
          </w:p>
        </w:tc>
        <w:tc>
          <w:tcPr>
            <w:tcW w:w="696" w:type="dxa"/>
            <w:noWrap w:val="0"/>
            <w:vAlign w:val="top"/>
          </w:tcPr>
          <w:p>
            <w:pPr>
              <w:widowControl/>
              <w:jc w:val="both"/>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6分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w:t>
            </w:r>
            <w:r>
              <w:rPr>
                <w:rFonts w:hint="eastAsia" w:ascii="宋体" w:hAnsi="宋体" w:eastAsia="宋体" w:cs="宋体"/>
                <w:color w:val="000000"/>
                <w:kern w:val="0"/>
                <w:szCs w:val="21"/>
                <w:highlight w:val="none"/>
                <w:lang w:val="en-US" w:eastAsia="zh-CN"/>
              </w:rPr>
              <w:t>7</w:t>
            </w:r>
            <w:r>
              <w:rPr>
                <w:rFonts w:hint="eastAsia" w:ascii="宋体" w:hAnsi="宋体" w:eastAsia="宋体" w:cs="宋体"/>
                <w:color w:val="000000"/>
                <w:kern w:val="0"/>
                <w:szCs w:val="21"/>
                <w:highlight w:val="none"/>
              </w:rPr>
              <w:t>.绿色低碳转型</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工业、能源、建筑、交通等领域形成绿色低碳循环发展的经济体系。</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查阅资料：上1年度相关年鉴、统计报表、报告等。</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资料来源：统计局、发改委、工信、生态环境等部门。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单位地区生产总值能耗、单位地区生产总值用水量、碳排放强度，完成上级规定的目标任务，每完成1项得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分，总分为6分；均未完成</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6分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第十二条</w:t>
            </w: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lang w:val="en-US" w:eastAsia="zh-CN"/>
              </w:rPr>
              <w:t>8</w:t>
            </w:r>
            <w:r>
              <w:rPr>
                <w:rFonts w:hint="eastAsia" w:ascii="宋体" w:hAnsi="宋体" w:eastAsia="宋体" w:cs="宋体"/>
                <w:color w:val="000000"/>
                <w:kern w:val="0"/>
                <w:szCs w:val="21"/>
                <w:highlight w:val="none"/>
              </w:rPr>
              <w:t>.饮用水水源地安全保障</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饮用水水源地达到国家供水安全要求，保障饮水安全。</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查阅资料：相关文件、预案方案、监测报告、评估报告、网站信息公开、工作记录、工作总结等。</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资料来源：水务、生态环境等部门。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1.按照规定划定饮用水</w:t>
            </w:r>
            <w:r>
              <w:rPr>
                <w:rFonts w:hint="eastAsia" w:ascii="宋体" w:hAnsi="宋体" w:eastAsia="宋体" w:cs="宋体"/>
                <w:color w:val="000000"/>
                <w:kern w:val="0"/>
                <w:szCs w:val="21"/>
                <w:highlight w:val="none"/>
                <w:lang w:val="en-US" w:eastAsia="zh-CN"/>
              </w:rPr>
              <w:t>水</w:t>
            </w:r>
            <w:r>
              <w:rPr>
                <w:rFonts w:hint="eastAsia" w:ascii="宋体" w:hAnsi="宋体" w:eastAsia="宋体" w:cs="宋体"/>
                <w:color w:val="000000"/>
                <w:kern w:val="0"/>
                <w:szCs w:val="21"/>
                <w:highlight w:val="none"/>
              </w:rPr>
              <w:t>源保护区，得</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分；未划定</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2.开展饮用水水源地规范化建设，得</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3.持续开展饮用水水源保护区环境问题排查，得</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4.县级以上水源保护区水质达标率达到100%，得</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分；＜100%</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5.开展备用水源地相关工作，得</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6.公示水源地水质情况，公开问题清单及整改情况，得</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分；未公示公开</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7.开展水源地保护的宣传工作，得</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7</w:t>
            </w:r>
            <w:r>
              <w:rPr>
                <w:rFonts w:hint="eastAsia" w:ascii="宋体" w:hAnsi="宋体" w:eastAsia="宋体" w:cs="宋体"/>
                <w:color w:val="000000"/>
                <w:kern w:val="0"/>
                <w:szCs w:val="21"/>
                <w:highlight w:val="none"/>
              </w:rPr>
              <w:t>分。</w:t>
            </w:r>
          </w:p>
        </w:tc>
        <w:tc>
          <w:tcPr>
            <w:tcW w:w="6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7</w:t>
            </w:r>
            <w:r>
              <w:rPr>
                <w:rFonts w:hint="eastAsia" w:ascii="宋体" w:hAnsi="宋体" w:eastAsia="宋体" w:cs="宋体"/>
                <w:color w:val="000000"/>
                <w:kern w:val="0"/>
                <w:szCs w:val="21"/>
                <w:highlight w:val="none"/>
              </w:rPr>
              <w:t>分</w:t>
            </w:r>
          </w:p>
        </w:tc>
        <w:tc>
          <w:tcPr>
            <w:tcW w:w="900"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cs="宋体"/>
                <w:color w:val="000000"/>
                <w:kern w:val="0"/>
                <w:szCs w:val="21"/>
                <w:highlight w:val="none"/>
                <w:lang w:val="en-US" w:eastAsia="zh-CN"/>
              </w:rPr>
              <w:t>见附录2：23、24、25、26、28、29、30、31、32。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19</w:t>
            </w:r>
            <w:r>
              <w:rPr>
                <w:rFonts w:hint="eastAsia" w:ascii="宋体" w:hAnsi="宋体" w:eastAsia="宋体" w:cs="宋体"/>
                <w:color w:val="000000"/>
                <w:kern w:val="0"/>
                <w:szCs w:val="21"/>
                <w:highlight w:val="none"/>
              </w:rPr>
              <w:t>.水功能区水质</w:t>
            </w:r>
          </w:p>
        </w:tc>
        <w:tc>
          <w:tcPr>
            <w:tcW w:w="2496" w:type="dxa"/>
            <w:noWrap w:val="0"/>
            <w:vAlign w:val="top"/>
          </w:tcPr>
          <w:p>
            <w:p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水环境功能区划分合理，水质监测项目频次符合要求，水质达到功能区类别对应的要求。规范开展断面监测。河流、湖泊、沟渠、塘等水体无“黑臭”现象，水体水质不低于五类。</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查阅资料：相关文件、监测报告、政府网站信息等。</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资料来源：水务、生态环境等部门。</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现场查看：河流、湖泊、沟渠、塘等水体有无黑臭现象。</w:t>
            </w:r>
          </w:p>
        </w:tc>
        <w:tc>
          <w:tcPr>
            <w:tcW w:w="5836" w:type="dxa"/>
            <w:noWrap w:val="0"/>
            <w:vAlign w:val="top"/>
          </w:tcPr>
          <w:p>
            <w:p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1.水质达到功能区类别对应的要求，得3分；部分达到要求，得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分；均未达到</w:t>
            </w:r>
            <w:r>
              <w:rPr>
                <w:rFonts w:hint="eastAsia" w:ascii="宋体" w:hAnsi="宋体" w:cs="宋体"/>
                <w:color w:val="000000"/>
                <w:kern w:val="0"/>
                <w:szCs w:val="21"/>
                <w:highlight w:val="none"/>
                <w:lang w:val="en-US" w:eastAsia="zh-CN"/>
              </w:rPr>
              <w:t>要求，</w:t>
            </w:r>
            <w:r>
              <w:rPr>
                <w:rFonts w:hint="eastAsia" w:ascii="宋体" w:hAnsi="宋体" w:eastAsia="宋体" w:cs="宋体"/>
                <w:color w:val="000000"/>
                <w:kern w:val="0"/>
                <w:szCs w:val="21"/>
                <w:highlight w:val="none"/>
              </w:rPr>
              <w:t>不得分。</w:t>
            </w:r>
          </w:p>
          <w:p>
            <w:p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2.现场查看未发现黑臭水体，得3分；有黑臭水体</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rPr>
              <w:t>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6分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w:t>
            </w:r>
            <w:r>
              <w:rPr>
                <w:rFonts w:hint="eastAsia" w:ascii="宋体" w:hAnsi="宋体" w:eastAsia="宋体" w:cs="宋体"/>
                <w:color w:val="000000"/>
                <w:kern w:val="0"/>
                <w:szCs w:val="21"/>
                <w:highlight w:val="none"/>
                <w:lang w:val="en-US" w:eastAsia="zh-CN"/>
              </w:rPr>
              <w:t>0</w:t>
            </w:r>
            <w:r>
              <w:rPr>
                <w:rFonts w:hint="eastAsia" w:ascii="宋体" w:hAnsi="宋体" w:eastAsia="宋体" w:cs="宋体"/>
                <w:color w:val="000000"/>
                <w:kern w:val="0"/>
                <w:szCs w:val="21"/>
                <w:highlight w:val="none"/>
              </w:rPr>
              <w:t>.饮水安全保障</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建立多部门联合工作机制，全面保障取水、制水、供水（二次供水）及涉水产品安全。加强供水工程设施建设、饮用水水质卫生监督检测、水质安全监督管理、预警应急处置、饮水安全科普宣传等工作，生活饮用水水质卫生达到国家标准要求。</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查阅资料：相关文件、方案、工作记录、检测报告等。</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资料来源：水务、生态环境、卫生健康等部门。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年内辖区生活饮用水水质监测达标率为100%，得</w:t>
            </w:r>
            <w:r>
              <w:rPr>
                <w:rFonts w:ascii="宋体" w:hAnsi="宋体" w:eastAsia="宋体" w:cs="宋体"/>
                <w:color w:val="000000"/>
                <w:kern w:val="0"/>
                <w:szCs w:val="21"/>
                <w:highlight w:val="none"/>
              </w:rPr>
              <w:t>8</w:t>
            </w:r>
            <w:r>
              <w:rPr>
                <w:rFonts w:hint="eastAsia" w:ascii="宋体" w:hAnsi="宋体" w:eastAsia="宋体" w:cs="宋体"/>
                <w:color w:val="000000"/>
                <w:kern w:val="0"/>
                <w:szCs w:val="21"/>
                <w:highlight w:val="none"/>
              </w:rPr>
              <w:t>分；未达到100%者按实际比例得分；未开展监测</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tc>
        <w:tc>
          <w:tcPr>
            <w:tcW w:w="6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8</w:t>
            </w:r>
            <w:r>
              <w:rPr>
                <w:rFonts w:hint="eastAsia" w:ascii="宋体" w:hAnsi="宋体" w:eastAsia="宋体" w:cs="宋体"/>
                <w:color w:val="000000"/>
                <w:kern w:val="0"/>
                <w:szCs w:val="21"/>
                <w:highlight w:val="none"/>
              </w:rPr>
              <w:t>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w:t>
            </w:r>
            <w:r>
              <w:rPr>
                <w:rFonts w:hint="eastAsia" w:ascii="宋体" w:hAnsi="宋体" w:eastAsia="宋体" w:cs="宋体"/>
                <w:color w:val="000000"/>
                <w:kern w:val="0"/>
                <w:szCs w:val="21"/>
                <w:highlight w:val="none"/>
                <w:lang w:val="en-US" w:eastAsia="zh-CN"/>
              </w:rPr>
              <w:t>1</w:t>
            </w:r>
            <w:r>
              <w:rPr>
                <w:rFonts w:hint="eastAsia" w:ascii="宋体" w:hAnsi="宋体" w:eastAsia="宋体" w:cs="宋体"/>
                <w:color w:val="000000"/>
                <w:kern w:val="0"/>
                <w:szCs w:val="21"/>
                <w:highlight w:val="none"/>
              </w:rPr>
              <w:t>.农村自来水普及</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制定城镇供水设施向农村延伸工作目标或方案，因地制宜推进城乡供水一体化工程建设。农村自来水普及率不低于85%。</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现场抽查：随机抽取1个行政村，再随机抽取5户农村家庭，查看自来水入户情况。</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在查看家户中，实现自来水入户，得</w:t>
            </w:r>
            <w:r>
              <w:rPr>
                <w:rFonts w:hint="eastAsia" w:ascii="宋体" w:hAnsi="宋体" w:eastAsia="宋体" w:cs="宋体"/>
                <w:color w:val="000000"/>
                <w:kern w:val="0"/>
                <w:szCs w:val="21"/>
                <w:highlight w:val="none"/>
                <w:lang w:val="en-US" w:eastAsia="zh-CN"/>
              </w:rPr>
              <w:t>2</w:t>
            </w:r>
            <w:r>
              <w:rPr>
                <w:rFonts w:hint="eastAsia" w:ascii="宋体" w:hAnsi="宋体" w:eastAsia="宋体" w:cs="宋体"/>
                <w:color w:val="000000"/>
                <w:kern w:val="0"/>
                <w:szCs w:val="21"/>
                <w:highlight w:val="none"/>
              </w:rPr>
              <w:t>分；无入户者</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不得分；5户</w:t>
            </w:r>
            <w:r>
              <w:rPr>
                <w:rFonts w:hint="eastAsia" w:ascii="宋体" w:hAnsi="宋体" w:cs="宋体"/>
                <w:color w:val="000000"/>
                <w:kern w:val="0"/>
                <w:szCs w:val="21"/>
                <w:highlight w:val="none"/>
                <w:lang w:val="en-US" w:eastAsia="zh-CN"/>
              </w:rPr>
              <w:t>农村家庭</w:t>
            </w:r>
            <w:r>
              <w:rPr>
                <w:rFonts w:hint="eastAsia" w:ascii="宋体" w:hAnsi="宋体" w:eastAsia="宋体" w:cs="宋体"/>
                <w:color w:val="000000"/>
                <w:kern w:val="0"/>
                <w:szCs w:val="21"/>
                <w:highlight w:val="none"/>
              </w:rPr>
              <w:t>满分为</w:t>
            </w:r>
            <w:r>
              <w:rPr>
                <w:rFonts w:hint="eastAsia" w:ascii="宋体" w:hAnsi="宋体" w:eastAsia="宋体" w:cs="宋体"/>
                <w:color w:val="000000"/>
                <w:kern w:val="0"/>
                <w:szCs w:val="21"/>
                <w:highlight w:val="none"/>
                <w:lang w:val="en-US" w:eastAsia="zh-CN"/>
              </w:rPr>
              <w:t>10</w:t>
            </w:r>
            <w:r>
              <w:rPr>
                <w:rFonts w:hint="eastAsia" w:ascii="宋体" w:hAnsi="宋体" w:eastAsia="宋体" w:cs="宋体"/>
                <w:color w:val="000000"/>
                <w:kern w:val="0"/>
                <w:szCs w:val="21"/>
                <w:highlight w:val="none"/>
              </w:rPr>
              <w:t>分。</w:t>
            </w:r>
          </w:p>
        </w:tc>
        <w:tc>
          <w:tcPr>
            <w:tcW w:w="696" w:type="dxa"/>
            <w:noWrap w:val="0"/>
            <w:vAlign w:val="top"/>
          </w:tcPr>
          <w:p>
            <w:pPr>
              <w:widowControl/>
              <w:spacing w:beforeAutospacing="1" w:afterAutospacing="1"/>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10</w:t>
            </w:r>
            <w:r>
              <w:rPr>
                <w:rFonts w:hint="eastAsia" w:ascii="宋体" w:hAnsi="宋体" w:eastAsia="宋体" w:cs="宋体"/>
                <w:color w:val="000000"/>
                <w:kern w:val="0"/>
                <w:szCs w:val="21"/>
                <w:highlight w:val="none"/>
              </w:rPr>
              <w:t>分</w:t>
            </w:r>
          </w:p>
        </w:tc>
        <w:tc>
          <w:tcPr>
            <w:tcW w:w="900" w:type="dxa"/>
            <w:vMerge w:val="continue"/>
            <w:noWrap w:val="0"/>
            <w:vAlign w:val="top"/>
          </w:tcPr>
          <w:p>
            <w:pPr>
              <w:widowControl/>
              <w:spacing w:beforeAutospacing="1" w:afterAutospacing="1"/>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Cs w:val="21"/>
                <w:highlight w:val="none"/>
              </w:rPr>
              <w:t>第十三条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w:t>
            </w:r>
            <w:r>
              <w:rPr>
                <w:rFonts w:hint="eastAsia" w:ascii="宋体" w:hAnsi="宋体" w:eastAsia="宋体" w:cs="宋体"/>
                <w:color w:val="000000"/>
                <w:kern w:val="0"/>
                <w:szCs w:val="21"/>
                <w:highlight w:val="none"/>
                <w:lang w:val="en-US" w:eastAsia="zh-CN"/>
              </w:rPr>
              <w:t>2</w:t>
            </w:r>
            <w:r>
              <w:rPr>
                <w:rFonts w:hint="eastAsia" w:ascii="宋体" w:hAnsi="宋体" w:eastAsia="宋体" w:cs="宋体"/>
                <w:color w:val="000000"/>
                <w:kern w:val="0"/>
                <w:szCs w:val="21"/>
                <w:highlight w:val="none"/>
              </w:rPr>
              <w:t>.污水处理</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因地制宜实施雨污分流、老旧破损污水管网改造，基本消除城市建成区生活污水直排口和收集处理设施空白区，生活污水收集管网基本全覆盖，污水处理厂建成并达标运行。</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查阅资料：建成区污水收集处理、污水管网建设运行等资料。</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资料来源：相关部门、运行管理单位等。</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现场抽查：抽查1家污水处理厂。</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bCs/>
                <w:color w:val="000000"/>
                <w:kern w:val="0"/>
                <w:szCs w:val="21"/>
                <w:highlight w:val="none"/>
              </w:rPr>
              <w:t>1</w:t>
            </w:r>
            <w:r>
              <w:rPr>
                <w:rFonts w:ascii="宋体" w:hAnsi="宋体" w:eastAsia="宋体" w:cs="宋体"/>
                <w:bCs/>
                <w:color w:val="000000"/>
                <w:kern w:val="0"/>
                <w:szCs w:val="21"/>
                <w:highlight w:val="none"/>
              </w:rPr>
              <w:t>.</w:t>
            </w:r>
            <w:r>
              <w:rPr>
                <w:rFonts w:hint="eastAsia" w:ascii="宋体" w:hAnsi="宋体" w:eastAsia="宋体" w:cs="宋体"/>
                <w:color w:val="000000"/>
                <w:kern w:val="0"/>
                <w:szCs w:val="21"/>
                <w:highlight w:val="none"/>
              </w:rPr>
              <w:t>建成区污水收集率≥75%，得4分；≥70%且＜75%，得2分；＜70%，不得分。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rPr>
              <w:t>被抽查污水处理厂达标运行，得</w:t>
            </w: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rPr>
              <w:t>分；基本达标运行，得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分；运行较差</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8</w:t>
            </w:r>
            <w:r>
              <w:rPr>
                <w:rFonts w:hint="eastAsia" w:ascii="宋体" w:hAnsi="宋体" w:eastAsia="宋体" w:cs="宋体"/>
                <w:color w:val="000000"/>
                <w:kern w:val="0"/>
                <w:szCs w:val="21"/>
                <w:highlight w:val="none"/>
              </w:rPr>
              <w:t>分。</w:t>
            </w:r>
          </w:p>
        </w:tc>
        <w:tc>
          <w:tcPr>
            <w:tcW w:w="696" w:type="dxa"/>
            <w:noWrap w:val="0"/>
            <w:vAlign w:val="center"/>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900"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见附录2：33、34、35、36、37、38、39、40、41、42、43、44、45、46、47、48、49、50、51、52、53、54、55、56、57、58、59。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300" w:lineRule="exact"/>
              <w:jc w:val="both"/>
              <w:textAlignment w:val="center"/>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w:t>
            </w:r>
            <w:r>
              <w:rPr>
                <w:rFonts w:hint="eastAsia" w:ascii="宋体" w:hAnsi="宋体" w:eastAsia="宋体" w:cs="宋体"/>
                <w:color w:val="000000"/>
                <w:kern w:val="0"/>
                <w:szCs w:val="21"/>
                <w:highlight w:val="none"/>
                <w:lang w:val="en-US" w:eastAsia="zh-CN"/>
              </w:rPr>
              <w:t>3</w:t>
            </w:r>
            <w:r>
              <w:rPr>
                <w:rFonts w:hint="eastAsia" w:ascii="宋体" w:hAnsi="宋体" w:eastAsia="宋体" w:cs="宋体"/>
                <w:color w:val="000000"/>
                <w:kern w:val="0"/>
                <w:szCs w:val="21"/>
                <w:highlight w:val="none"/>
              </w:rPr>
              <w:t>.生活垃圾源头减量和分类</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出台生活垃圾源头减量和分类工作方案，建成生活垃圾分类工作协调机制，加快建立分类投放、分类收集、分类运输、分类处理的生活垃圾管理系统，实现生活垃圾分类制度有效覆盖，城市生活垃圾回收利用率＞35%。</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查阅资料：生活垃圾减量、分类等工作方案，生活垃圾分类收集、运输和处理设施设备情况等资料。</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资料来源：相关部门和运行管理单位。</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现场抽查：随机抽查</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个城区居民小区和1个行政村，查看其垃圾分类情况。</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1.城市生活垃圾回收利用率＞35%，得</w:t>
            </w: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rPr>
              <w:t>分；＞30%且≤3</w:t>
            </w:r>
            <w:r>
              <w:rPr>
                <w:rFonts w:ascii="宋体" w:hAnsi="宋体" w:eastAsia="宋体" w:cs="宋体"/>
                <w:color w:val="000000"/>
                <w:kern w:val="0"/>
                <w:szCs w:val="21"/>
                <w:highlight w:val="none"/>
              </w:rPr>
              <w:t>5</w:t>
            </w:r>
            <w:r>
              <w:rPr>
                <w:rFonts w:hint="eastAsia" w:ascii="宋体" w:hAnsi="宋体" w:eastAsia="宋体" w:cs="宋体"/>
                <w:color w:val="000000"/>
                <w:kern w:val="0"/>
                <w:szCs w:val="21"/>
                <w:highlight w:val="none"/>
              </w:rPr>
              <w:t>%，得</w:t>
            </w:r>
            <w:r>
              <w:rPr>
                <w:rFonts w:ascii="宋体" w:hAnsi="宋体" w:eastAsia="宋体" w:cs="宋体"/>
                <w:color w:val="000000"/>
                <w:kern w:val="0"/>
                <w:szCs w:val="21"/>
                <w:highlight w:val="none"/>
              </w:rPr>
              <w:t>3</w:t>
            </w:r>
            <w:r>
              <w:rPr>
                <w:rFonts w:hint="eastAsia" w:ascii="宋体" w:hAnsi="宋体" w:eastAsia="宋体" w:cs="宋体"/>
                <w:color w:val="000000"/>
                <w:kern w:val="0"/>
                <w:szCs w:val="21"/>
                <w:highlight w:val="none"/>
              </w:rPr>
              <w:t>分；≤30%，不得分。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2.在抽查社区中，垃圾分类符合城乡垃圾分类相关规范要求者，得</w:t>
            </w:r>
            <w:r>
              <w:rPr>
                <w:rFonts w:hint="default" w:ascii="宋体" w:hAnsi="宋体" w:eastAsia="宋体" w:cs="宋体"/>
                <w:color w:val="000000"/>
                <w:kern w:val="0"/>
                <w:szCs w:val="21"/>
                <w:highlight w:val="none"/>
                <w:lang w:val="en-US"/>
              </w:rPr>
              <w:t>2</w:t>
            </w:r>
            <w:r>
              <w:rPr>
                <w:rFonts w:hint="eastAsia" w:ascii="宋体" w:hAnsi="宋体" w:eastAsia="宋体" w:cs="宋体"/>
                <w:color w:val="000000"/>
                <w:kern w:val="0"/>
                <w:szCs w:val="21"/>
                <w:highlight w:val="none"/>
                <w:lang w:val="en-US" w:eastAsia="zh-CN"/>
              </w:rPr>
              <w:t>.5</w:t>
            </w:r>
            <w:r>
              <w:rPr>
                <w:rFonts w:hint="eastAsia" w:ascii="宋体" w:hAnsi="宋体" w:eastAsia="宋体" w:cs="宋体"/>
                <w:color w:val="000000"/>
                <w:kern w:val="0"/>
                <w:szCs w:val="21"/>
                <w:highlight w:val="none"/>
              </w:rPr>
              <w:t>分；不符合者</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不得分；2个社区满分为</w:t>
            </w:r>
            <w:r>
              <w:rPr>
                <w:rFonts w:hint="eastAsia" w:ascii="宋体" w:hAnsi="宋体" w:eastAsia="宋体" w:cs="宋体"/>
                <w:color w:val="000000"/>
                <w:kern w:val="0"/>
                <w:szCs w:val="21"/>
                <w:highlight w:val="none"/>
                <w:lang w:val="en-US" w:eastAsia="zh-CN"/>
              </w:rPr>
              <w:t>5</w:t>
            </w:r>
            <w:r>
              <w:rPr>
                <w:rFonts w:hint="eastAsia" w:ascii="宋体" w:hAnsi="宋体" w:eastAsia="宋体" w:cs="宋体"/>
                <w:color w:val="000000"/>
                <w:kern w:val="0"/>
                <w:szCs w:val="21"/>
                <w:highlight w:val="none"/>
              </w:rPr>
              <w:t>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lang w:val="en-US" w:eastAsia="zh-CN"/>
              </w:rPr>
              <w:t>1</w:t>
            </w:r>
            <w:r>
              <w:rPr>
                <w:rFonts w:hint="eastAsia" w:ascii="宋体" w:hAnsi="宋体" w:eastAsia="宋体" w:cs="宋体"/>
                <w:color w:val="000000"/>
                <w:kern w:val="0"/>
                <w:szCs w:val="21"/>
                <w:highlight w:val="none"/>
              </w:rPr>
              <w:t>分。</w:t>
            </w:r>
          </w:p>
        </w:tc>
        <w:tc>
          <w:tcPr>
            <w:tcW w:w="696" w:type="dxa"/>
            <w:noWrap w:val="0"/>
            <w:vAlign w:val="center"/>
          </w:tcPr>
          <w:p>
            <w:pPr>
              <w:widowControl/>
              <w:spacing w:line="400" w:lineRule="atLeast"/>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1分</w:t>
            </w:r>
          </w:p>
        </w:tc>
        <w:tc>
          <w:tcPr>
            <w:tcW w:w="900" w:type="dxa"/>
            <w:vMerge w:val="continue"/>
            <w:noWrap w:val="0"/>
            <w:vAlign w:val="center"/>
          </w:tcPr>
          <w:p>
            <w:pPr>
              <w:widowControl/>
              <w:spacing w:line="400" w:lineRule="atLeast"/>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300" w:lineRule="exact"/>
              <w:jc w:val="both"/>
              <w:textAlignment w:val="center"/>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w:t>
            </w:r>
            <w:r>
              <w:rPr>
                <w:rFonts w:hint="eastAsia" w:ascii="宋体" w:hAnsi="宋体" w:eastAsia="宋体" w:cs="宋体"/>
                <w:color w:val="000000"/>
                <w:kern w:val="0"/>
                <w:szCs w:val="21"/>
                <w:highlight w:val="none"/>
                <w:lang w:val="en-US" w:eastAsia="zh-CN"/>
              </w:rPr>
              <w:t>4</w:t>
            </w:r>
            <w:r>
              <w:rPr>
                <w:rFonts w:hint="eastAsia" w:ascii="宋体" w:hAnsi="宋体" w:eastAsia="宋体" w:cs="宋体"/>
                <w:color w:val="000000"/>
                <w:kern w:val="0"/>
                <w:szCs w:val="21"/>
                <w:highlight w:val="none"/>
              </w:rPr>
              <w:t>.生活垃圾污染治理</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生活垃圾收运臭气控制达标，无露天焚烧垃圾、违规填埋垃圾和在铁路沿线乱堆放垃圾等现象。</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现场抽查：随机抽查1处铁路沿线（无铁路的县区可抽查1处当地主要公路沿线），查看有无垃圾乱堆情况，途中可同时观察有无露天焚烧垃圾、违规填埋现象。</w:t>
            </w:r>
          </w:p>
        </w:tc>
        <w:tc>
          <w:tcPr>
            <w:tcW w:w="583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抽查铁路（公路）沿线无垃圾乱堆现象，得</w:t>
            </w: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rPr>
              <w:t>分；有乱堆现象，不得分。</w:t>
            </w:r>
          </w:p>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沿途未发现露天焚烧垃圾或违规填埋现象，得</w:t>
            </w: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rPr>
              <w:t>分；有露天焚烧或违规填埋现象，不得分。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8</w:t>
            </w:r>
            <w:r>
              <w:rPr>
                <w:rFonts w:hint="eastAsia" w:ascii="宋体" w:hAnsi="宋体" w:eastAsia="宋体" w:cs="宋体"/>
                <w:color w:val="000000"/>
                <w:kern w:val="0"/>
                <w:szCs w:val="21"/>
                <w:highlight w:val="none"/>
              </w:rPr>
              <w:t>分。</w:t>
            </w:r>
          </w:p>
        </w:tc>
        <w:tc>
          <w:tcPr>
            <w:tcW w:w="696" w:type="dxa"/>
            <w:noWrap w:val="0"/>
            <w:vAlign w:val="center"/>
          </w:tcPr>
          <w:p>
            <w:pPr>
              <w:widowControl w:val="0"/>
              <w:spacing w:line="400" w:lineRule="atLeast"/>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center"/>
          </w:tcPr>
          <w:p>
            <w:pPr>
              <w:widowControl w:val="0"/>
              <w:spacing w:line="400" w:lineRule="atLeast"/>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300" w:lineRule="exact"/>
              <w:jc w:val="both"/>
              <w:textAlignment w:val="center"/>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w:t>
            </w:r>
            <w:r>
              <w:rPr>
                <w:rFonts w:hint="eastAsia" w:ascii="宋体" w:hAnsi="宋体" w:eastAsia="宋体" w:cs="宋体"/>
                <w:color w:val="000000"/>
                <w:kern w:val="0"/>
                <w:szCs w:val="21"/>
                <w:highlight w:val="none"/>
                <w:lang w:val="en-US" w:eastAsia="zh-CN"/>
              </w:rPr>
              <w:t>5</w:t>
            </w:r>
            <w:r>
              <w:rPr>
                <w:rFonts w:hint="eastAsia" w:ascii="宋体" w:hAnsi="宋体" w:eastAsia="宋体" w:cs="宋体"/>
                <w:color w:val="000000"/>
                <w:kern w:val="0"/>
                <w:szCs w:val="21"/>
                <w:highlight w:val="none"/>
              </w:rPr>
              <w:t>.医疗废物处置</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医疗废物管理责任明确，规章制度健全，规范操作，源头分类和分类收集、运送、暂存、交接、集中处置符合《医疗废物分类目录》《医疗废物管理条例》等规定，实现医疗废物收集处理全覆盖。</w:t>
            </w:r>
          </w:p>
        </w:tc>
        <w:tc>
          <w:tcPr>
            <w:tcW w:w="3095" w:type="dxa"/>
            <w:noWrap w:val="0"/>
            <w:vAlign w:val="top"/>
          </w:tcPr>
          <w:p>
            <w:pPr>
              <w:widowControl/>
              <w:jc w:val="both"/>
              <w:textAlignment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现场抽查：抽查1家县级医院和1家乡镇卫生院，了解医疗废物管理情况。</w:t>
            </w:r>
          </w:p>
        </w:tc>
        <w:tc>
          <w:tcPr>
            <w:tcW w:w="5836" w:type="dxa"/>
            <w:noWrap w:val="0"/>
            <w:vAlign w:val="top"/>
          </w:tcPr>
          <w:p>
            <w:pPr>
              <w:widowControl/>
              <w:jc w:val="both"/>
              <w:textAlignment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被抽查的医疗机构中：</w:t>
            </w:r>
          </w:p>
          <w:p>
            <w:pPr>
              <w:widowControl/>
              <w:jc w:val="both"/>
              <w:textAlignment w:val="center"/>
              <w:rPr>
                <w:rFonts w:ascii="宋体" w:hAnsi="宋体" w:eastAsia="宋体" w:cs="宋体"/>
                <w:color w:val="000000"/>
                <w:kern w:val="0"/>
                <w:szCs w:val="21"/>
                <w:highlight w:val="none"/>
              </w:rPr>
            </w:pP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医疗废物管理制度健全，得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分；不健全，不得分。</w:t>
            </w:r>
          </w:p>
          <w:p>
            <w:pPr>
              <w:widowControl/>
              <w:jc w:val="both"/>
              <w:textAlignment w:val="center"/>
              <w:rPr>
                <w:rFonts w:ascii="宋体" w:hAnsi="宋体" w:eastAsia="宋体" w:cs="宋体"/>
                <w:color w:val="000000"/>
                <w:kern w:val="0"/>
                <w:szCs w:val="21"/>
                <w:highlight w:val="none"/>
              </w:rPr>
            </w:pP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医疗废物处置规范，得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分；不规范，不得分。</w:t>
            </w:r>
          </w:p>
          <w:p>
            <w:pPr>
              <w:widowControl/>
              <w:jc w:val="both"/>
              <w:textAlignment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2家医疗机构满分为</w:t>
            </w:r>
            <w:r>
              <w:rPr>
                <w:rFonts w:ascii="宋体" w:hAnsi="宋体" w:eastAsia="宋体" w:cs="宋体"/>
                <w:color w:val="000000"/>
                <w:kern w:val="0"/>
                <w:szCs w:val="21"/>
                <w:highlight w:val="none"/>
              </w:rPr>
              <w:t>8</w:t>
            </w:r>
            <w:r>
              <w:rPr>
                <w:rFonts w:hint="eastAsia" w:ascii="宋体" w:hAnsi="宋体" w:eastAsia="宋体" w:cs="宋体"/>
                <w:color w:val="000000"/>
                <w:kern w:val="0"/>
                <w:szCs w:val="21"/>
                <w:highlight w:val="none"/>
              </w:rPr>
              <w:t>分。</w:t>
            </w:r>
          </w:p>
        </w:tc>
        <w:tc>
          <w:tcPr>
            <w:tcW w:w="696" w:type="dxa"/>
            <w:noWrap w:val="0"/>
            <w:vAlign w:val="center"/>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center"/>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第十四条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w:t>
            </w:r>
            <w:r>
              <w:rPr>
                <w:rFonts w:hint="eastAsia" w:ascii="宋体" w:hAnsi="宋体" w:eastAsia="宋体" w:cs="宋体"/>
                <w:color w:val="000000"/>
                <w:kern w:val="0"/>
                <w:szCs w:val="21"/>
                <w:highlight w:val="none"/>
                <w:lang w:val="en-US" w:eastAsia="zh-CN"/>
              </w:rPr>
              <w:t>6</w:t>
            </w:r>
            <w:r>
              <w:rPr>
                <w:rFonts w:hint="eastAsia" w:ascii="宋体" w:hAnsi="宋体" w:eastAsia="宋体" w:cs="宋体"/>
                <w:color w:val="000000"/>
                <w:kern w:val="0"/>
                <w:szCs w:val="21"/>
                <w:highlight w:val="none"/>
              </w:rPr>
              <w:t>.城镇公共厕所建设和管理</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辖区内城镇公共厕所规划布局合理，公厕的数量</w:t>
            </w:r>
            <w:r>
              <w:rPr>
                <w:rFonts w:ascii="宋体" w:hAnsi="宋体" w:eastAsia="宋体" w:cs="宋体"/>
                <w:color w:val="000000"/>
                <w:kern w:val="0"/>
                <w:szCs w:val="21"/>
                <w:highlight w:val="none"/>
              </w:rPr>
              <w:t>、间距、类别、功能等符合《公共厕所卫生规范》《城市公共厕所设计标准》等</w:t>
            </w:r>
            <w:r>
              <w:rPr>
                <w:rFonts w:hint="eastAsia" w:ascii="宋体" w:hAnsi="宋体" w:eastAsia="宋体" w:cs="宋体"/>
                <w:color w:val="000000"/>
                <w:kern w:val="0"/>
                <w:szCs w:val="21"/>
                <w:highlight w:val="none"/>
              </w:rPr>
              <w:t>国家</w:t>
            </w:r>
            <w:r>
              <w:rPr>
                <w:rFonts w:ascii="宋体" w:hAnsi="宋体" w:eastAsia="宋体" w:cs="宋体"/>
                <w:color w:val="000000"/>
                <w:kern w:val="0"/>
                <w:szCs w:val="21"/>
                <w:highlight w:val="none"/>
              </w:rPr>
              <w:t>标准</w:t>
            </w:r>
            <w:r>
              <w:rPr>
                <w:rFonts w:hint="eastAsia" w:ascii="宋体" w:hAnsi="宋体" w:eastAsia="宋体" w:cs="宋体"/>
                <w:color w:val="000000"/>
                <w:kern w:val="0"/>
                <w:szCs w:val="21"/>
                <w:highlight w:val="none"/>
              </w:rPr>
              <w:t>，管理规范、免费开放、方便群众使用。</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现场抽查：随机抽取2处独立式公共厕所和2处附属式公共厕所（从1家娱乐场所和1个当地规模较大的商场、超市或菜市场中，各抽取1处附属式公共厕所），查看其建设和管理情况。</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抽取的每处公共厕所符合要求，得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.5分，具体如下：免费开放（0.5分）、厕所标识醒目（0.5分）、洗手设施完好（0.5分）、无蚊蝇（0.5分）、基本无臭味（0.5分）；不符合要求</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不得分；4处厕所满分为10分。</w:t>
            </w:r>
          </w:p>
        </w:tc>
        <w:tc>
          <w:tcPr>
            <w:tcW w:w="696" w:type="dxa"/>
            <w:noWrap w:val="0"/>
            <w:vAlign w:val="top"/>
          </w:tcPr>
          <w:p>
            <w:pPr>
              <w:widowControl/>
              <w:spacing w:line="400" w:lineRule="atLeast"/>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10</w:t>
            </w:r>
            <w:r>
              <w:rPr>
                <w:rFonts w:hint="eastAsia" w:ascii="宋体" w:hAnsi="宋体" w:eastAsia="宋体" w:cs="宋体"/>
                <w:color w:val="000000"/>
                <w:kern w:val="0"/>
                <w:szCs w:val="21"/>
                <w:highlight w:val="none"/>
              </w:rPr>
              <w:t>分</w:t>
            </w:r>
          </w:p>
        </w:tc>
        <w:tc>
          <w:tcPr>
            <w:tcW w:w="900" w:type="dxa"/>
            <w:vMerge w:val="restart"/>
            <w:noWrap w:val="0"/>
            <w:vAlign w:val="top"/>
          </w:tcPr>
          <w:p>
            <w:pPr>
              <w:widowControl/>
              <w:jc w:val="both"/>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见附录2：41、60。</w:t>
            </w:r>
          </w:p>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val="0"/>
              <w:jc w:val="both"/>
              <w:rPr>
                <w:rFonts w:ascii="宋体" w:hAnsi="宋体" w:eastAsia="宋体" w:cs="宋体"/>
                <w:color w:val="000000"/>
                <w:kern w:val="0"/>
                <w:sz w:val="24"/>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lang w:val="en-US" w:eastAsia="zh-CN"/>
              </w:rPr>
              <w:t>7</w:t>
            </w:r>
            <w:r>
              <w:rPr>
                <w:rFonts w:hint="eastAsia" w:ascii="宋体" w:hAnsi="宋体" w:eastAsia="宋体" w:cs="宋体"/>
                <w:color w:val="000000"/>
                <w:kern w:val="0"/>
                <w:szCs w:val="21"/>
                <w:highlight w:val="none"/>
              </w:rPr>
              <w:t>.农村卫生厕所</w:t>
            </w:r>
          </w:p>
        </w:tc>
        <w:tc>
          <w:tcPr>
            <w:tcW w:w="2496" w:type="dxa"/>
            <w:noWrap w:val="0"/>
            <w:vAlign w:val="top"/>
          </w:tcPr>
          <w:p>
            <w:p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统筹推进辖区内农村户厕改造工作，农</w:t>
            </w:r>
            <w:r>
              <w:rPr>
                <w:rFonts w:ascii="宋体" w:hAnsi="宋体" w:eastAsia="宋体" w:cs="宋体"/>
                <w:color w:val="000000"/>
                <w:kern w:val="0"/>
                <w:szCs w:val="21"/>
                <w:highlight w:val="none"/>
              </w:rPr>
              <w:t>村卫生厕所普及率达到</w:t>
            </w:r>
            <w:r>
              <w:rPr>
                <w:rFonts w:hint="eastAsia" w:ascii="宋体" w:hAnsi="宋体" w:eastAsia="宋体" w:cs="宋体"/>
                <w:color w:val="000000"/>
                <w:kern w:val="0"/>
                <w:szCs w:val="21"/>
                <w:highlight w:val="none"/>
              </w:rPr>
              <w:t>95%以上，地处偏远、经济欠发达的地区</w:t>
            </w:r>
            <w:r>
              <w:rPr>
                <w:rFonts w:hint="eastAsia" w:ascii="宋体" w:hAnsi="宋体" w:eastAsia="宋体" w:cs="宋体"/>
                <w:color w:val="000000"/>
                <w:kern w:val="0"/>
                <w:sz w:val="21"/>
                <w:szCs w:val="21"/>
                <w:highlight w:val="none"/>
                <w:lang w:val="en-US" w:eastAsia="zh-CN" w:bidi="ar-SA"/>
              </w:rPr>
              <w:t>农</w:t>
            </w:r>
            <w:r>
              <w:rPr>
                <w:rFonts w:ascii="宋体" w:hAnsi="宋体" w:eastAsia="宋体" w:cs="宋体"/>
                <w:color w:val="000000"/>
                <w:kern w:val="0"/>
                <w:sz w:val="21"/>
                <w:szCs w:val="21"/>
                <w:highlight w:val="none"/>
                <w:lang w:val="en-US" w:eastAsia="zh-CN" w:bidi="ar-SA"/>
              </w:rPr>
              <w:t>村卫生厕所</w:t>
            </w:r>
            <w:r>
              <w:rPr>
                <w:rFonts w:hint="eastAsia" w:ascii="宋体" w:hAnsi="宋体" w:eastAsia="宋体" w:cs="宋体"/>
                <w:color w:val="000000"/>
                <w:kern w:val="0"/>
                <w:sz w:val="21"/>
                <w:szCs w:val="21"/>
                <w:highlight w:val="none"/>
                <w:lang w:val="en-US" w:eastAsia="zh-CN" w:bidi="ar-SA"/>
              </w:rPr>
              <w:t>普及率</w:t>
            </w:r>
            <w:r>
              <w:rPr>
                <w:rFonts w:hint="eastAsia" w:ascii="宋体" w:hAnsi="宋体" w:eastAsia="宋体" w:cs="宋体"/>
                <w:color w:val="000000"/>
                <w:kern w:val="0"/>
                <w:szCs w:val="21"/>
                <w:highlight w:val="none"/>
              </w:rPr>
              <w:t>达到85%以上。</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查阅资料：农村户厕改造相关资料。</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资料来源：农业农村、住房和城乡建设等部门。</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现场抽查：随机抽取1个行政村，现场随机抽取5户农村家庭，查看其卫生厕所情况。</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查验标准：卫生厕所指有墙、有顶、有门，厕屋清洁、无臭，粪池无渗漏、无粪便暴露、无蝇蛆，厕所粪污就地处理处置，或转移至户厕外进行处理处置，达到无害化卫生要求。</w:t>
            </w:r>
          </w:p>
        </w:tc>
        <w:tc>
          <w:tcPr>
            <w:tcW w:w="5836" w:type="dxa"/>
            <w:noWrap w:val="0"/>
            <w:vAlign w:val="top"/>
          </w:tcPr>
          <w:p>
            <w:pPr>
              <w:widowControl/>
              <w:jc w:val="both"/>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1.农</w:t>
            </w:r>
            <w:r>
              <w:rPr>
                <w:rFonts w:ascii="宋体" w:hAnsi="宋体" w:eastAsia="宋体" w:cs="宋体"/>
                <w:color w:val="000000"/>
                <w:kern w:val="0"/>
                <w:sz w:val="21"/>
                <w:szCs w:val="21"/>
                <w:highlight w:val="none"/>
                <w:lang w:val="en-US" w:eastAsia="zh-CN" w:bidi="ar-SA"/>
              </w:rPr>
              <w:t>村卫生厕所普及率</w:t>
            </w:r>
            <w:r>
              <w:rPr>
                <w:rFonts w:hint="eastAsia" w:ascii="宋体" w:hAnsi="宋体" w:eastAsia="宋体" w:cs="宋体"/>
                <w:color w:val="000000"/>
                <w:kern w:val="0"/>
                <w:sz w:val="21"/>
                <w:szCs w:val="21"/>
                <w:highlight w:val="none"/>
                <w:lang w:val="en-US" w:eastAsia="zh-CN" w:bidi="ar-SA"/>
              </w:rPr>
              <w:t>≥95%，</w:t>
            </w:r>
            <w:r>
              <w:rPr>
                <w:rFonts w:ascii="宋体" w:hAnsi="宋体" w:eastAsia="宋体" w:cs="宋体"/>
                <w:color w:val="000000"/>
                <w:kern w:val="0"/>
                <w:sz w:val="21"/>
                <w:szCs w:val="21"/>
                <w:highlight w:val="none"/>
                <w:lang w:val="en-US" w:eastAsia="zh-CN" w:bidi="ar-SA"/>
              </w:rPr>
              <w:t>地处偏远、经济欠发达的地区</w:t>
            </w:r>
            <w:r>
              <w:rPr>
                <w:rFonts w:hint="eastAsia" w:ascii="宋体" w:hAnsi="宋体" w:eastAsia="宋体" w:cs="宋体"/>
                <w:color w:val="000000"/>
                <w:kern w:val="0"/>
                <w:sz w:val="21"/>
                <w:szCs w:val="21"/>
                <w:highlight w:val="none"/>
                <w:lang w:val="en-US" w:eastAsia="zh-CN" w:bidi="ar-SA"/>
              </w:rPr>
              <w:t>农</w:t>
            </w:r>
            <w:r>
              <w:rPr>
                <w:rFonts w:ascii="宋体" w:hAnsi="宋体" w:eastAsia="宋体" w:cs="宋体"/>
                <w:color w:val="000000"/>
                <w:kern w:val="0"/>
                <w:sz w:val="21"/>
                <w:szCs w:val="21"/>
                <w:highlight w:val="none"/>
                <w:lang w:val="en-US" w:eastAsia="zh-CN" w:bidi="ar-SA"/>
              </w:rPr>
              <w:t>村卫生厕所</w:t>
            </w:r>
            <w:r>
              <w:rPr>
                <w:rFonts w:hint="eastAsia" w:ascii="宋体" w:hAnsi="宋体" w:cs="宋体"/>
                <w:color w:val="000000"/>
                <w:kern w:val="0"/>
                <w:sz w:val="21"/>
                <w:szCs w:val="21"/>
                <w:highlight w:val="none"/>
                <w:lang w:val="en-US" w:eastAsia="zh-CN" w:bidi="ar-SA"/>
              </w:rPr>
              <w:t>普及率</w:t>
            </w:r>
            <w:r>
              <w:rPr>
                <w:rFonts w:hint="eastAsia" w:ascii="宋体" w:hAnsi="宋体" w:eastAsia="宋体" w:cs="宋体"/>
                <w:color w:val="000000"/>
                <w:kern w:val="0"/>
                <w:sz w:val="21"/>
                <w:szCs w:val="21"/>
                <w:highlight w:val="none"/>
                <w:lang w:val="en-US" w:eastAsia="zh-CN" w:bidi="ar-SA"/>
              </w:rPr>
              <w:t>≥</w:t>
            </w:r>
            <w:r>
              <w:rPr>
                <w:rFonts w:ascii="宋体" w:hAnsi="宋体" w:eastAsia="宋体" w:cs="宋体"/>
                <w:color w:val="000000"/>
                <w:kern w:val="0"/>
                <w:sz w:val="21"/>
                <w:szCs w:val="21"/>
                <w:highlight w:val="none"/>
                <w:lang w:val="en-US" w:eastAsia="zh-CN" w:bidi="ar-SA"/>
              </w:rPr>
              <w:t>85%，</w:t>
            </w:r>
            <w:r>
              <w:rPr>
                <w:rFonts w:hint="eastAsia" w:ascii="宋体" w:hAnsi="宋体" w:eastAsia="宋体" w:cs="宋体"/>
                <w:color w:val="000000"/>
                <w:kern w:val="0"/>
                <w:sz w:val="21"/>
                <w:szCs w:val="21"/>
                <w:highlight w:val="none"/>
                <w:lang w:val="en-US" w:eastAsia="zh-CN" w:bidi="ar-SA"/>
              </w:rPr>
              <w:t>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分；农</w:t>
            </w:r>
            <w:r>
              <w:rPr>
                <w:rFonts w:ascii="宋体" w:hAnsi="宋体" w:eastAsia="宋体" w:cs="宋体"/>
                <w:color w:val="000000"/>
                <w:kern w:val="0"/>
                <w:sz w:val="21"/>
                <w:szCs w:val="21"/>
                <w:highlight w:val="none"/>
                <w:lang w:val="en-US" w:eastAsia="zh-CN" w:bidi="ar-SA"/>
              </w:rPr>
              <w:t>村卫生厕所</w:t>
            </w:r>
            <w:r>
              <w:rPr>
                <w:rFonts w:hint="eastAsia" w:ascii="宋体" w:hAnsi="宋体" w:eastAsia="宋体" w:cs="宋体"/>
                <w:color w:val="000000"/>
                <w:kern w:val="0"/>
                <w:sz w:val="21"/>
                <w:szCs w:val="21"/>
                <w:highlight w:val="none"/>
                <w:lang w:val="en-US" w:eastAsia="zh-CN" w:bidi="ar-SA"/>
              </w:rPr>
              <w:t>普及率≥85%且＜95%，</w:t>
            </w:r>
            <w:r>
              <w:rPr>
                <w:rFonts w:ascii="宋体" w:hAnsi="宋体" w:eastAsia="宋体" w:cs="宋体"/>
                <w:color w:val="000000"/>
                <w:kern w:val="0"/>
                <w:sz w:val="21"/>
                <w:szCs w:val="21"/>
                <w:highlight w:val="none"/>
                <w:lang w:val="en-US" w:eastAsia="zh-CN" w:bidi="ar-SA"/>
              </w:rPr>
              <w:t>地处偏远、经济欠发达的地区</w:t>
            </w:r>
            <w:r>
              <w:rPr>
                <w:rFonts w:hint="eastAsia" w:ascii="宋体" w:hAnsi="宋体" w:eastAsia="宋体" w:cs="宋体"/>
                <w:color w:val="000000"/>
                <w:kern w:val="0"/>
                <w:sz w:val="21"/>
                <w:szCs w:val="21"/>
                <w:highlight w:val="none"/>
                <w:lang w:val="en-US" w:eastAsia="zh-CN" w:bidi="ar-SA"/>
              </w:rPr>
              <w:t>农</w:t>
            </w:r>
            <w:r>
              <w:rPr>
                <w:rFonts w:ascii="宋体" w:hAnsi="宋体" w:eastAsia="宋体" w:cs="宋体"/>
                <w:color w:val="000000"/>
                <w:kern w:val="0"/>
                <w:sz w:val="21"/>
                <w:szCs w:val="21"/>
                <w:highlight w:val="none"/>
                <w:lang w:val="en-US" w:eastAsia="zh-CN" w:bidi="ar-SA"/>
              </w:rPr>
              <w:t>村卫生厕所</w:t>
            </w:r>
            <w:r>
              <w:rPr>
                <w:rFonts w:hint="eastAsia" w:ascii="宋体" w:hAnsi="宋体" w:eastAsia="宋体" w:cs="宋体"/>
                <w:color w:val="000000"/>
                <w:kern w:val="0"/>
                <w:sz w:val="21"/>
                <w:szCs w:val="21"/>
                <w:highlight w:val="none"/>
                <w:lang w:val="en-US" w:eastAsia="zh-CN" w:bidi="ar-SA"/>
              </w:rPr>
              <w:t>普及率≥</w:t>
            </w:r>
            <w:r>
              <w:rPr>
                <w:rFonts w:ascii="宋体" w:hAnsi="宋体" w:eastAsia="宋体" w:cs="宋体"/>
                <w:color w:val="000000"/>
                <w:kern w:val="0"/>
                <w:sz w:val="21"/>
                <w:szCs w:val="21"/>
                <w:highlight w:val="none"/>
                <w:lang w:val="en-US" w:eastAsia="zh-CN" w:bidi="ar-SA"/>
              </w:rPr>
              <w:t>75</w:t>
            </w:r>
            <w:r>
              <w:rPr>
                <w:rFonts w:hint="eastAsia" w:ascii="宋体" w:hAnsi="宋体" w:eastAsia="宋体" w:cs="宋体"/>
                <w:color w:val="000000"/>
                <w:kern w:val="0"/>
                <w:sz w:val="21"/>
                <w:szCs w:val="21"/>
                <w:highlight w:val="none"/>
                <w:lang w:val="en-US" w:eastAsia="zh-CN" w:bidi="ar-SA"/>
              </w:rPr>
              <w:t>%且＜</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5%</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w:t>
            </w:r>
            <w:r>
              <w:rPr>
                <w:rFonts w:hint="eastAsia" w:ascii="宋体" w:hAnsi="宋体" w:cs="宋体"/>
                <w:color w:val="000000"/>
                <w:kern w:val="0"/>
                <w:szCs w:val="21"/>
              </w:rPr>
              <w:t>；</w:t>
            </w:r>
            <w:r>
              <w:rPr>
                <w:rFonts w:hint="eastAsia" w:ascii="宋体" w:hAnsi="宋体" w:eastAsia="宋体" w:cs="宋体"/>
                <w:color w:val="000000"/>
                <w:kern w:val="0"/>
                <w:sz w:val="21"/>
                <w:szCs w:val="21"/>
                <w:highlight w:val="none"/>
                <w:lang w:val="en-US" w:eastAsia="zh-CN" w:bidi="ar-SA"/>
              </w:rPr>
              <w:t>农</w:t>
            </w:r>
            <w:r>
              <w:rPr>
                <w:rFonts w:ascii="宋体" w:hAnsi="宋体" w:eastAsia="宋体" w:cs="宋体"/>
                <w:color w:val="000000"/>
                <w:kern w:val="0"/>
                <w:sz w:val="21"/>
                <w:szCs w:val="21"/>
                <w:highlight w:val="none"/>
                <w:lang w:val="en-US" w:eastAsia="zh-CN" w:bidi="ar-SA"/>
              </w:rPr>
              <w:t>村卫生厕所</w:t>
            </w:r>
            <w:r>
              <w:rPr>
                <w:rFonts w:hint="eastAsia" w:ascii="宋体" w:hAnsi="宋体" w:cs="宋体"/>
                <w:color w:val="000000"/>
                <w:kern w:val="0"/>
                <w:szCs w:val="21"/>
              </w:rPr>
              <w:t>普及率＜85%，</w:t>
            </w:r>
            <w:r>
              <w:rPr>
                <w:rFonts w:ascii="宋体" w:hAnsi="宋体" w:cs="宋体"/>
                <w:color w:val="000000"/>
                <w:kern w:val="0"/>
                <w:szCs w:val="21"/>
              </w:rPr>
              <w:t>地处偏远、经济欠发达的地区</w:t>
            </w:r>
            <w:r>
              <w:rPr>
                <w:rFonts w:hint="eastAsia" w:ascii="宋体" w:hAnsi="宋体" w:eastAsia="宋体" w:cs="宋体"/>
                <w:color w:val="000000"/>
                <w:kern w:val="0"/>
                <w:sz w:val="21"/>
                <w:szCs w:val="21"/>
                <w:highlight w:val="none"/>
                <w:lang w:val="en-US" w:eastAsia="zh-CN" w:bidi="ar-SA"/>
              </w:rPr>
              <w:t>农</w:t>
            </w:r>
            <w:r>
              <w:rPr>
                <w:rFonts w:ascii="宋体" w:hAnsi="宋体" w:eastAsia="宋体" w:cs="宋体"/>
                <w:color w:val="000000"/>
                <w:kern w:val="0"/>
                <w:sz w:val="21"/>
                <w:szCs w:val="21"/>
                <w:highlight w:val="none"/>
                <w:lang w:val="en-US" w:eastAsia="zh-CN" w:bidi="ar-SA"/>
              </w:rPr>
              <w:t>村卫生厕所</w:t>
            </w:r>
            <w:r>
              <w:rPr>
                <w:rFonts w:hint="eastAsia" w:ascii="宋体" w:hAnsi="宋体" w:cs="宋体"/>
                <w:color w:val="000000"/>
                <w:kern w:val="0"/>
                <w:szCs w:val="21"/>
              </w:rPr>
              <w:t>普及率＜75%</w:t>
            </w:r>
            <w:r>
              <w:rPr>
                <w:rFonts w:ascii="宋体" w:hAnsi="宋体" w:cs="宋体"/>
                <w:color w:val="000000"/>
                <w:kern w:val="0"/>
                <w:szCs w:val="21"/>
              </w:rPr>
              <w:t>，不得分</w:t>
            </w:r>
            <w:r>
              <w:rPr>
                <w:rFonts w:hint="eastAsia" w:ascii="宋体" w:hAnsi="宋体" w:cs="宋体"/>
                <w:color w:val="000000"/>
                <w:kern w:val="0"/>
                <w:szCs w:val="21"/>
                <w:lang w:eastAsia="zh-CN"/>
              </w:rPr>
              <w:t>。</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2.在查看的农户中，符合农村卫生厕所标准者，得1分；不符合者</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不得分；5户农村家庭满分为5分。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该指标满分为9分。</w:t>
            </w:r>
          </w:p>
        </w:tc>
        <w:tc>
          <w:tcPr>
            <w:tcW w:w="696" w:type="dxa"/>
            <w:noWrap w:val="0"/>
            <w:vAlign w:val="top"/>
          </w:tcPr>
          <w:p>
            <w:pPr>
              <w:widowControl/>
              <w:spacing w:line="400" w:lineRule="atLeast"/>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9</w:t>
            </w:r>
            <w:r>
              <w:rPr>
                <w:rFonts w:hint="eastAsia" w:ascii="宋体" w:hAnsi="宋体" w:eastAsia="宋体" w:cs="宋体"/>
                <w:color w:val="000000"/>
                <w:kern w:val="0"/>
                <w:szCs w:val="21"/>
                <w:highlight w:val="none"/>
              </w:rPr>
              <w:t>分</w:t>
            </w:r>
          </w:p>
        </w:tc>
        <w:tc>
          <w:tcPr>
            <w:tcW w:w="900" w:type="dxa"/>
            <w:vMerge w:val="continue"/>
            <w:noWrap w:val="0"/>
            <w:vAlign w:val="top"/>
          </w:tcPr>
          <w:p>
            <w:pPr>
              <w:widowControl/>
              <w:spacing w:line="400" w:lineRule="atLeast"/>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val="0"/>
              <w:jc w:val="both"/>
              <w:rPr>
                <w:rFonts w:ascii="宋体" w:hAnsi="宋体" w:eastAsia="宋体" w:cs="宋体"/>
                <w:color w:val="000000"/>
                <w:kern w:val="0"/>
                <w:sz w:val="24"/>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28</w:t>
            </w:r>
            <w:r>
              <w:rPr>
                <w:rFonts w:hint="eastAsia" w:ascii="宋体" w:hAnsi="宋体" w:eastAsia="宋体" w:cs="宋体"/>
                <w:color w:val="000000"/>
                <w:kern w:val="0"/>
                <w:szCs w:val="21"/>
                <w:highlight w:val="none"/>
              </w:rPr>
              <w:t>.病媒孳生地治理及密度控制</w:t>
            </w:r>
          </w:p>
        </w:tc>
        <w:tc>
          <w:tcPr>
            <w:tcW w:w="2496" w:type="dxa"/>
            <w:noWrap w:val="0"/>
            <w:vAlign w:val="top"/>
          </w:tcPr>
          <w:p>
            <w:p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对蚊、蝇孳生地进行有效管理，鼠、蚊、蝇、蟑螂的密度达到国家病媒生物密度控制水平。</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查阅资料：蚊、蝇孳生地治理或管理方案等,查看1个城市居民小区所在街道的病媒生物密度控制的监测、自评报告等资料。</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资料来源：卫生健康等部门、街道或相关部门。</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现场抽查：抽取1个城区的居民小区，查看蚊蝇孳生地情况。</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1.制定孳生地治理或管理方案，得2分；未制定</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2.被抽查街道鼠、蚊、蝇、蟑螂的密度达到国家标准B级，每项</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分，合计</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分；达到C级，每项0.5分，合计2分；C级以下</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在抽查的社区中：</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（1）未发现无盖的</w:t>
            </w:r>
            <w:r>
              <w:rPr>
                <w:rFonts w:ascii="宋体" w:hAnsi="宋体" w:eastAsia="宋体" w:cs="宋体"/>
                <w:color w:val="000000"/>
                <w:kern w:val="0"/>
                <w:sz w:val="21"/>
                <w:szCs w:val="21"/>
                <w:highlight w:val="none"/>
                <w:lang w:val="en-US" w:eastAsia="zh-CN" w:bidi="ar-SA"/>
              </w:rPr>
              <w:t>瓶瓶罐罐、轮胎</w:t>
            </w:r>
            <w:r>
              <w:rPr>
                <w:rFonts w:hint="eastAsia" w:ascii="宋体" w:hAnsi="宋体" w:eastAsia="宋体" w:cs="宋体"/>
                <w:color w:val="000000"/>
                <w:kern w:val="0"/>
                <w:sz w:val="21"/>
                <w:szCs w:val="21"/>
                <w:highlight w:val="none"/>
                <w:lang w:val="en-US" w:eastAsia="zh-CN" w:bidi="ar-SA"/>
              </w:rPr>
              <w:t>积水</w:t>
            </w:r>
            <w:r>
              <w:rPr>
                <w:rFonts w:ascii="宋体" w:hAnsi="宋体" w:eastAsia="宋体" w:cs="宋体"/>
                <w:color w:val="000000"/>
                <w:kern w:val="0"/>
                <w:sz w:val="21"/>
                <w:szCs w:val="21"/>
                <w:highlight w:val="none"/>
                <w:lang w:val="en-US" w:eastAsia="zh-CN" w:bidi="ar-SA"/>
              </w:rPr>
              <w:t>、坑洼等小型积水</w:t>
            </w:r>
            <w:r>
              <w:rPr>
                <w:rFonts w:hint="eastAsia" w:ascii="宋体" w:hAnsi="宋体" w:eastAsia="宋体" w:cs="宋体"/>
                <w:color w:val="000000"/>
                <w:kern w:val="0"/>
                <w:sz w:val="21"/>
                <w:szCs w:val="21"/>
                <w:highlight w:val="none"/>
                <w:lang w:val="en-US" w:eastAsia="zh-CN" w:bidi="ar-SA"/>
              </w:rPr>
              <w:t>，得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分；发现者</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w:t>
            </w:r>
            <w:r>
              <w:rPr>
                <w:rFonts w:ascii="宋体" w:hAnsi="宋体" w:eastAsia="宋体" w:cs="宋体"/>
                <w:color w:val="000000"/>
                <w:kern w:val="0"/>
                <w:sz w:val="21"/>
                <w:szCs w:val="21"/>
                <w:highlight w:val="none"/>
                <w:lang w:val="en-US" w:eastAsia="zh-CN" w:bidi="ar-SA"/>
              </w:rPr>
              <w:t>雨水道口等排水系统</w:t>
            </w:r>
            <w:r>
              <w:rPr>
                <w:rFonts w:hint="eastAsia" w:ascii="宋体" w:hAnsi="宋体" w:eastAsia="宋体" w:cs="宋体"/>
                <w:color w:val="000000"/>
                <w:kern w:val="0"/>
                <w:sz w:val="21"/>
                <w:szCs w:val="21"/>
                <w:highlight w:val="none"/>
                <w:lang w:val="en-US" w:eastAsia="zh-CN" w:bidi="ar-SA"/>
              </w:rPr>
              <w:t>无积水，得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分；有积水</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（3）垃圾桶加盖得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未加盖</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w:t>
            </w:r>
            <w:r>
              <w:rPr>
                <w:rFonts w:ascii="宋体" w:hAnsi="宋体" w:eastAsia="宋体" w:cs="宋体"/>
                <w:color w:val="000000"/>
                <w:kern w:val="0"/>
                <w:sz w:val="21"/>
                <w:szCs w:val="21"/>
                <w:highlight w:val="none"/>
                <w:lang w:val="en-US" w:eastAsia="zh-CN" w:bidi="ar-SA"/>
              </w:rPr>
              <w:t>16</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宋体"/>
                <w:color w:val="000000"/>
                <w:kern w:val="0"/>
                <w:szCs w:val="21"/>
                <w:highlight w:val="none"/>
              </w:rPr>
            </w:pPr>
            <w:r>
              <w:rPr>
                <w:rFonts w:ascii="宋体" w:hAnsi="宋体" w:eastAsia="宋体" w:cs="仿宋"/>
                <w:kern w:val="0"/>
                <w:szCs w:val="21"/>
                <w:highlight w:val="none"/>
              </w:rPr>
              <w:t>16</w:t>
            </w:r>
            <w:r>
              <w:rPr>
                <w:rFonts w:hint="eastAsia" w:ascii="宋体" w:hAnsi="宋体" w:eastAsia="宋体" w:cs="仿宋"/>
                <w:kern w:val="0"/>
                <w:szCs w:val="21"/>
                <w:highlight w:val="none"/>
              </w:rPr>
              <w:t>分</w:t>
            </w:r>
          </w:p>
        </w:tc>
        <w:tc>
          <w:tcPr>
            <w:tcW w:w="900" w:type="dxa"/>
            <w:noWrap w:val="0"/>
            <w:vAlign w:val="top"/>
          </w:tcPr>
          <w:p>
            <w:pPr>
              <w:widowControl/>
              <w:jc w:val="both"/>
              <w:rPr>
                <w:rFonts w:hint="eastAsia"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见附录2：61、62、63、64。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val="0"/>
              <w:jc w:val="both"/>
              <w:rPr>
                <w:rFonts w:ascii="宋体" w:hAnsi="宋体" w:eastAsia="宋体" w:cs="宋体"/>
                <w:color w:val="000000"/>
                <w:kern w:val="0"/>
                <w:sz w:val="24"/>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29</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rPr>
              <w:t>规范饲养禽畜</w:t>
            </w:r>
          </w:p>
        </w:tc>
        <w:tc>
          <w:tcPr>
            <w:tcW w:w="2496" w:type="dxa"/>
            <w:noWrap w:val="0"/>
            <w:vAlign w:val="top"/>
          </w:tcPr>
          <w:p>
            <w:pPr>
              <w:ind w:left="-5"/>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倡导禽畜圈养，指导养殖户或居民规范处理禽畜粪污，按要求对动物实施免疫接种。</w:t>
            </w:r>
            <w:r>
              <w:rPr>
                <w:rFonts w:ascii="宋体" w:hAnsi="宋体" w:eastAsia="宋体" w:cs="宋体"/>
                <w:color w:val="000000"/>
                <w:kern w:val="0"/>
                <w:szCs w:val="21"/>
                <w:highlight w:val="none"/>
              </w:rPr>
              <w:t>城市建成区内禁止饲养鸡、鸭、鹅、兔、羊、猪等家畜家禽。</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现场抽查：随机抽取1个行政村，再随机抽取</w:t>
            </w:r>
            <w:r>
              <w:rPr>
                <w:rFonts w:ascii="宋体" w:hAnsi="宋体" w:eastAsia="宋体" w:cs="宋体"/>
                <w:color w:val="000000"/>
                <w:kern w:val="0"/>
                <w:sz w:val="21"/>
                <w:szCs w:val="21"/>
                <w:highlight w:val="none"/>
                <w:lang w:val="en-US" w:eastAsia="zh-CN" w:bidi="ar-SA"/>
              </w:rPr>
              <w:t>5</w:t>
            </w:r>
            <w:r>
              <w:rPr>
                <w:rFonts w:hint="eastAsia" w:ascii="宋体" w:hAnsi="宋体" w:eastAsia="宋体" w:cs="宋体"/>
                <w:color w:val="000000"/>
                <w:kern w:val="0"/>
                <w:sz w:val="21"/>
                <w:szCs w:val="21"/>
                <w:highlight w:val="none"/>
                <w:lang w:val="en-US" w:eastAsia="zh-CN" w:bidi="ar-SA"/>
              </w:rPr>
              <w:t>户农村家庭，查看其禽畜饲养情况。</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评判标准：禽畜圈养；及时清理粪便。</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在查看的农户中，符合禽畜饲养评判标准者，得2分；不符合者</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r>
              <w:rPr>
                <w:rFonts w:ascii="宋体" w:hAnsi="宋体" w:eastAsia="宋体" w:cs="宋体"/>
                <w:color w:val="000000"/>
                <w:kern w:val="0"/>
                <w:sz w:val="21"/>
                <w:szCs w:val="21"/>
                <w:highlight w:val="none"/>
                <w:lang w:val="en-US" w:eastAsia="zh-CN" w:bidi="ar-SA"/>
              </w:rPr>
              <w:t>5</w:t>
            </w:r>
            <w:r>
              <w:rPr>
                <w:rFonts w:hint="eastAsia" w:ascii="宋体" w:hAnsi="宋体" w:eastAsia="宋体" w:cs="宋体"/>
                <w:color w:val="000000"/>
                <w:kern w:val="0"/>
                <w:sz w:val="21"/>
                <w:szCs w:val="21"/>
                <w:highlight w:val="none"/>
                <w:lang w:val="en-US" w:eastAsia="zh-CN" w:bidi="ar-SA"/>
              </w:rPr>
              <w:t>户农村家庭满分为10分。</w:t>
            </w:r>
          </w:p>
        </w:tc>
        <w:tc>
          <w:tcPr>
            <w:tcW w:w="696" w:type="dxa"/>
            <w:noWrap w:val="0"/>
            <w:vAlign w:val="top"/>
          </w:tcPr>
          <w:p>
            <w:pPr>
              <w:widowControl/>
              <w:spacing w:line="400" w:lineRule="atLeast"/>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10分</w:t>
            </w:r>
          </w:p>
        </w:tc>
        <w:tc>
          <w:tcPr>
            <w:tcW w:w="900"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w:t>
            </w:r>
            <w:r>
              <w:rPr>
                <w:rFonts w:hint="eastAsia" w:ascii="宋体" w:hAnsi="宋体" w:cs="宋体"/>
                <w:color w:val="000000"/>
                <w:kern w:val="0"/>
                <w:szCs w:val="21"/>
                <w:lang w:val="en-US" w:eastAsia="zh-CN"/>
              </w:rPr>
              <w:t>65、66。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val="0"/>
              <w:jc w:val="both"/>
              <w:rPr>
                <w:rFonts w:ascii="宋体" w:hAnsi="宋体" w:eastAsia="宋体" w:cs="宋体"/>
                <w:color w:val="000000"/>
                <w:kern w:val="0"/>
                <w:sz w:val="24"/>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3</w:t>
            </w:r>
            <w:r>
              <w:rPr>
                <w:rFonts w:hint="eastAsia" w:ascii="宋体" w:hAnsi="宋体" w:eastAsia="宋体" w:cs="宋体"/>
                <w:color w:val="000000"/>
                <w:kern w:val="0"/>
                <w:szCs w:val="21"/>
                <w:highlight w:val="none"/>
                <w:lang w:val="en-US" w:eastAsia="zh-CN"/>
              </w:rPr>
              <w:t>0</w:t>
            </w:r>
            <w:r>
              <w:rPr>
                <w:rFonts w:hint="eastAsia" w:ascii="宋体" w:hAnsi="宋体" w:eastAsia="宋体" w:cs="宋体"/>
                <w:color w:val="000000"/>
                <w:kern w:val="0"/>
                <w:szCs w:val="21"/>
                <w:highlight w:val="none"/>
              </w:rPr>
              <w:t>.文明饲养宠物</w:t>
            </w:r>
          </w:p>
        </w:tc>
        <w:tc>
          <w:tcPr>
            <w:tcW w:w="2496" w:type="dxa"/>
            <w:noWrap w:val="0"/>
            <w:vAlign w:val="top"/>
          </w:tcPr>
          <w:p>
            <w:pPr>
              <w:ind w:left="-4" w:leftChars="-2"/>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倡导居民文明饲养</w:t>
            </w:r>
            <w:r>
              <w:rPr>
                <w:rFonts w:ascii="宋体" w:hAnsi="宋体" w:eastAsia="宋体" w:cs="宋体"/>
                <w:color w:val="000000"/>
                <w:kern w:val="0"/>
                <w:szCs w:val="21"/>
                <w:highlight w:val="none"/>
              </w:rPr>
              <w:t>宠物，饲养犬只定期免疫接种狂犬病疫苗，携带犬只出户采取系犬绳等措施，防止犬只伤人</w:t>
            </w:r>
            <w:r>
              <w:rPr>
                <w:rFonts w:hint="eastAsia" w:ascii="宋体" w:hAnsi="宋体" w:eastAsia="宋体" w:cs="宋体"/>
                <w:color w:val="000000"/>
                <w:kern w:val="0"/>
                <w:szCs w:val="21"/>
                <w:highlight w:val="none"/>
              </w:rPr>
              <w:t>，及时清理宠物粪便</w:t>
            </w:r>
            <w:r>
              <w:rPr>
                <w:rFonts w:ascii="宋体" w:hAnsi="宋体" w:eastAsia="宋体" w:cs="宋体"/>
                <w:color w:val="000000"/>
                <w:kern w:val="0"/>
                <w:szCs w:val="21"/>
                <w:highlight w:val="none"/>
              </w:rPr>
              <w:t>。流浪犬、猫得到妥善控制和处置，防止疫病传播。</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现场查看：有无遛狗不系狗绳者、马路边有无宠物粪便。</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1.未发现有遛狗不系狗绳者，得4分；发现有，不得分。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2.马路边未发现宠物粪便，得</w:t>
            </w:r>
            <w:r>
              <w:rPr>
                <w:rFonts w:ascii="宋体" w:hAnsi="宋体" w:eastAsia="宋体" w:cs="宋体"/>
                <w:color w:val="000000"/>
                <w:kern w:val="0"/>
                <w:sz w:val="21"/>
                <w:szCs w:val="21"/>
                <w:highlight w:val="none"/>
                <w:lang w:val="en-US" w:eastAsia="zh-CN" w:bidi="ar-SA"/>
              </w:rPr>
              <w:t>3</w:t>
            </w:r>
            <w:r>
              <w:rPr>
                <w:rFonts w:hint="eastAsia" w:ascii="宋体" w:hAnsi="宋体" w:eastAsia="宋体" w:cs="宋体"/>
                <w:color w:val="000000"/>
                <w:kern w:val="0"/>
                <w:sz w:val="21"/>
                <w:szCs w:val="21"/>
                <w:highlight w:val="none"/>
                <w:lang w:val="en-US" w:eastAsia="zh-CN" w:bidi="ar-SA"/>
              </w:rPr>
              <w:t>分；偶见，得</w:t>
            </w:r>
            <w:r>
              <w:rPr>
                <w:rFonts w:hint="eastAsia" w:ascii="宋体" w:hAnsi="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分；多见，不得分。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w:t>
            </w:r>
            <w:r>
              <w:rPr>
                <w:rFonts w:ascii="宋体" w:hAnsi="宋体" w:eastAsia="宋体" w:cs="宋体"/>
                <w:color w:val="000000"/>
                <w:kern w:val="0"/>
                <w:sz w:val="21"/>
                <w:szCs w:val="21"/>
                <w:highlight w:val="none"/>
                <w:lang w:val="en-US" w:eastAsia="zh-CN" w:bidi="ar-SA"/>
              </w:rPr>
              <w:t>7</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7分</w:t>
            </w:r>
          </w:p>
        </w:tc>
        <w:tc>
          <w:tcPr>
            <w:tcW w:w="900" w:type="dxa"/>
            <w:vMerge w:val="continue"/>
            <w:noWrap w:val="0"/>
            <w:vAlign w:val="top"/>
          </w:tcPr>
          <w:p>
            <w:pPr>
              <w:widowControl/>
              <w:spacing w:line="400" w:lineRule="atLeast"/>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val="0"/>
              <w:jc w:val="both"/>
              <w:rPr>
                <w:rFonts w:ascii="宋体" w:hAnsi="宋体" w:eastAsia="宋体" w:cs="宋体"/>
                <w:color w:val="000000"/>
                <w:kern w:val="0"/>
                <w:sz w:val="24"/>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3</w:t>
            </w:r>
            <w:r>
              <w:rPr>
                <w:rFonts w:hint="eastAsia" w:ascii="宋体" w:hAnsi="宋体" w:eastAsia="宋体" w:cs="宋体"/>
                <w:color w:val="000000"/>
                <w:kern w:val="0"/>
                <w:szCs w:val="21"/>
                <w:highlight w:val="none"/>
                <w:lang w:val="en-US" w:eastAsia="zh-CN"/>
              </w:rPr>
              <w:t>1</w:t>
            </w:r>
            <w:r>
              <w:rPr>
                <w:rFonts w:hint="eastAsia" w:ascii="宋体" w:hAnsi="宋体" w:eastAsia="宋体" w:cs="宋体"/>
                <w:color w:val="000000"/>
                <w:kern w:val="0"/>
                <w:szCs w:val="21"/>
                <w:highlight w:val="none"/>
              </w:rPr>
              <w:t>.禁止贩卖、制售、食用野生动物</w:t>
            </w:r>
          </w:p>
        </w:tc>
        <w:tc>
          <w:tcPr>
            <w:tcW w:w="2496" w:type="dxa"/>
            <w:noWrap w:val="0"/>
            <w:vAlign w:val="top"/>
          </w:tcPr>
          <w:p>
            <w:pPr>
              <w:ind w:left="-4" w:leftChars="-2" w:firstLine="2" w:firstLineChars="1"/>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严格落实</w:t>
            </w:r>
            <w:r>
              <w:rPr>
                <w:rFonts w:ascii="宋体" w:hAnsi="宋体" w:eastAsia="宋体" w:cs="宋体"/>
                <w:color w:val="000000"/>
                <w:kern w:val="0"/>
                <w:szCs w:val="21"/>
                <w:highlight w:val="none"/>
              </w:rPr>
              <w:t>《全国人民代表大会常务委员会关于全面禁止非法野生动物交易、革除滥食野生动物陋习、切实保障人民群众生命健康安全的决定》《国家林业和草原局关于规范禁食野生动物分类管理范围的通知》等规定，加大宣传，严格执法，</w:t>
            </w:r>
            <w:r>
              <w:rPr>
                <w:rFonts w:hint="eastAsia" w:ascii="宋体" w:hAnsi="宋体" w:eastAsia="宋体" w:cs="宋体"/>
                <w:color w:val="000000"/>
                <w:kern w:val="0"/>
                <w:szCs w:val="21"/>
                <w:highlight w:val="none"/>
              </w:rPr>
              <w:t>禁止贩卖、制售、食用</w:t>
            </w:r>
            <w:r>
              <w:rPr>
                <w:rFonts w:ascii="宋体" w:hAnsi="宋体" w:eastAsia="宋体" w:cs="宋体"/>
                <w:color w:val="000000"/>
                <w:kern w:val="0"/>
                <w:szCs w:val="21"/>
                <w:highlight w:val="none"/>
              </w:rPr>
              <w:t>野生动物。</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查阅资料：相关落实文件、执法记录等。</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资料来源：市场监管、公安、司法等部门。</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现场抽查：随机抽查1处农贸市场、或集市、或宠物市场，查看有无贩卖、制售、食用野生动物情况。</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1.有相关落实文件，得</w:t>
            </w:r>
            <w:r>
              <w:rPr>
                <w:rFonts w:ascii="宋体" w:hAnsi="宋体" w:eastAsia="宋体" w:cs="宋体"/>
                <w:color w:val="000000"/>
                <w:kern w:val="0"/>
                <w:sz w:val="21"/>
                <w:szCs w:val="21"/>
                <w:highlight w:val="none"/>
                <w:lang w:val="en-US" w:eastAsia="zh-CN" w:bidi="ar-SA"/>
              </w:rPr>
              <w:t>3</w:t>
            </w:r>
            <w:r>
              <w:rPr>
                <w:rFonts w:hint="eastAsia" w:ascii="宋体" w:hAnsi="宋体" w:eastAsia="宋体" w:cs="宋体"/>
                <w:color w:val="000000"/>
                <w:kern w:val="0"/>
                <w:sz w:val="21"/>
                <w:szCs w:val="21"/>
                <w:highlight w:val="none"/>
                <w:lang w:val="en-US" w:eastAsia="zh-CN" w:bidi="ar-SA"/>
              </w:rPr>
              <w:t>分；无相关文件，不得分。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2.在抽查的场所未发现贩卖、制售、食用野生动物情况，得</w:t>
            </w:r>
            <w:r>
              <w:rPr>
                <w:rFonts w:ascii="宋体" w:hAnsi="宋体" w:eastAsia="宋体" w:cs="宋体"/>
                <w:color w:val="000000"/>
                <w:kern w:val="0"/>
                <w:sz w:val="21"/>
                <w:szCs w:val="21"/>
                <w:highlight w:val="none"/>
                <w:lang w:val="en-US" w:eastAsia="zh-CN" w:bidi="ar-SA"/>
              </w:rPr>
              <w:t>3</w:t>
            </w:r>
            <w:r>
              <w:rPr>
                <w:rFonts w:hint="eastAsia" w:ascii="宋体" w:hAnsi="宋体" w:eastAsia="宋体" w:cs="宋体"/>
                <w:color w:val="000000"/>
                <w:kern w:val="0"/>
                <w:sz w:val="21"/>
                <w:szCs w:val="21"/>
                <w:highlight w:val="none"/>
                <w:lang w:val="en-US" w:eastAsia="zh-CN" w:bidi="ar-SA"/>
              </w:rPr>
              <w:t>分；发现上述情况</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w:t>
            </w:r>
            <w:r>
              <w:rPr>
                <w:rFonts w:ascii="宋体" w:hAnsi="宋体" w:eastAsia="宋体" w:cs="宋体"/>
                <w:color w:val="000000"/>
                <w:kern w:val="0"/>
                <w:sz w:val="21"/>
                <w:szCs w:val="21"/>
                <w:highlight w:val="none"/>
                <w:lang w:val="en-US" w:eastAsia="zh-CN" w:bidi="ar-SA"/>
              </w:rPr>
              <w:t>6</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6</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top"/>
          </w:tcPr>
          <w:p>
            <w:pPr>
              <w:widowControl/>
              <w:spacing w:line="400" w:lineRule="atLeast"/>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widowControl/>
              <w:spacing w:line="400" w:lineRule="atLeast"/>
              <w:jc w:val="both"/>
              <w:textAlignment w:val="center"/>
              <w:rPr>
                <w:rFonts w:ascii="宋体" w:hAnsi="宋体" w:eastAsia="宋体" w:cs="仿宋"/>
                <w:kern w:val="0"/>
                <w:szCs w:val="21"/>
                <w:highlight w:val="none"/>
              </w:rPr>
            </w:pPr>
            <w:r>
              <w:rPr>
                <w:rFonts w:hint="eastAsia" w:ascii="宋体" w:hAnsi="宋体" w:eastAsia="宋体" w:cs="仿宋"/>
                <w:kern w:val="0"/>
                <w:szCs w:val="21"/>
                <w:highlight w:val="none"/>
              </w:rPr>
              <w:t>第十五条</w:t>
            </w: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3</w:t>
            </w:r>
            <w:r>
              <w:rPr>
                <w:rFonts w:hint="eastAsia" w:ascii="宋体" w:hAnsi="宋体" w:eastAsia="宋体" w:cs="宋体"/>
                <w:color w:val="000000"/>
                <w:kern w:val="0"/>
                <w:szCs w:val="21"/>
                <w:highlight w:val="none"/>
                <w:lang w:val="en-US" w:eastAsia="zh-CN"/>
              </w:rPr>
              <w:t>2</w:t>
            </w:r>
            <w:r>
              <w:rPr>
                <w:rFonts w:hint="eastAsia" w:ascii="宋体" w:hAnsi="宋体" w:eastAsia="宋体" w:cs="宋体"/>
                <w:color w:val="000000"/>
                <w:kern w:val="0"/>
                <w:szCs w:val="21"/>
                <w:highlight w:val="none"/>
              </w:rPr>
              <w:t>.食品生产经营单位油烟净化</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排放油烟的饮食业单位需按照《饮食业油烟排放标准》规定，安装油烟净化设施，排气罩面积与灶头数的比≥1.1，油烟排放浓度≤2mg/m</w:t>
            </w:r>
            <w:r>
              <w:rPr>
                <w:rFonts w:ascii="宋体" w:hAnsi="宋体" w:eastAsia="宋体" w:cs="宋体"/>
                <w:color w:val="000000"/>
                <w:kern w:val="0"/>
                <w:sz w:val="21"/>
                <w:szCs w:val="21"/>
                <w:highlight w:val="none"/>
                <w:vertAlign w:val="superscript"/>
                <w:lang w:val="en-US" w:eastAsia="zh-CN" w:bidi="ar-SA"/>
              </w:rPr>
              <w:t>3</w:t>
            </w:r>
            <w:r>
              <w:rPr>
                <w:rFonts w:hint="eastAsia" w:ascii="宋体" w:hAnsi="宋体" w:eastAsia="宋体" w:cs="宋体"/>
                <w:color w:val="000000"/>
                <w:kern w:val="0"/>
                <w:sz w:val="21"/>
                <w:szCs w:val="21"/>
                <w:highlight w:val="none"/>
                <w:lang w:val="en-US" w:eastAsia="zh-CN" w:bidi="ar-SA"/>
              </w:rPr>
              <w:t>，并保证操作期间按要求运行。</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现场抽查：随机抽查</w:t>
            </w:r>
            <w:r>
              <w:rPr>
                <w:rFonts w:hint="eastAsia" w:ascii="宋体" w:hAnsi="宋体" w:eastAsia="宋体" w:cs="宋体"/>
                <w:color w:val="000000"/>
                <w:kern w:val="0"/>
                <w:sz w:val="24"/>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500平米的1家餐馆和1家单位食堂</w:t>
            </w:r>
            <w:r>
              <w:rPr>
                <w:rFonts w:hint="eastAsia" w:ascii="宋体" w:hAnsi="宋体" w:cs="宋体"/>
                <w:color w:val="000000"/>
                <w:kern w:val="0"/>
                <w:sz w:val="21"/>
                <w:szCs w:val="21"/>
                <w:highlight w:val="none"/>
                <w:lang w:val="en-US" w:eastAsia="zh-CN" w:bidi="ar-SA"/>
              </w:rPr>
              <w:t>，查阅</w:t>
            </w:r>
            <w:r>
              <w:rPr>
                <w:rFonts w:hint="eastAsia" w:ascii="宋体" w:hAnsi="宋体" w:eastAsia="宋体" w:cs="宋体"/>
                <w:color w:val="000000"/>
                <w:kern w:val="0"/>
                <w:sz w:val="21"/>
                <w:szCs w:val="21"/>
                <w:highlight w:val="none"/>
                <w:lang w:val="en-US" w:eastAsia="zh-CN" w:bidi="ar-SA"/>
              </w:rPr>
              <w:t>抽查单位相关检测报告。</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根据检测报告进行评分：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1.安装油烟净化装置，得</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分；未安装</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2.排烟口设置合理，得</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分；设置不合理</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3.操作期间正常运行，得</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分；未正常运行</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4.排放浓度达标，得</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分；不达标或未能提供检测报告</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2家抽查单位满分为</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Times New Roman"/>
                <w:szCs w:val="21"/>
                <w:highlight w:val="none"/>
              </w:rPr>
            </w:pPr>
            <w:r>
              <w:rPr>
                <w:rFonts w:ascii="宋体" w:hAnsi="宋体" w:eastAsia="宋体" w:cs="仿宋"/>
                <w:kern w:val="0"/>
                <w:szCs w:val="21"/>
                <w:highlight w:val="none"/>
              </w:rPr>
              <w:t>8</w:t>
            </w:r>
            <w:r>
              <w:rPr>
                <w:rFonts w:hint="eastAsia" w:ascii="宋体" w:hAnsi="宋体" w:eastAsia="宋体" w:cs="仿宋"/>
                <w:kern w:val="0"/>
                <w:szCs w:val="21"/>
                <w:highlight w:val="none"/>
              </w:rPr>
              <w:t>分</w:t>
            </w:r>
          </w:p>
        </w:tc>
        <w:tc>
          <w:tcPr>
            <w:tcW w:w="900" w:type="dxa"/>
            <w:vMerge w:val="restart"/>
            <w:noWrap w:val="0"/>
            <w:vAlign w:val="top"/>
          </w:tcPr>
          <w:p>
            <w:pPr>
              <w:widowControl/>
              <w:jc w:val="both"/>
              <w:rPr>
                <w:rFonts w:hint="default"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见附录2：67、68、69。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1"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textAlignment w:val="center"/>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3</w:t>
            </w:r>
            <w:r>
              <w:rPr>
                <w:rFonts w:hint="eastAsia" w:ascii="宋体" w:hAnsi="宋体" w:eastAsia="宋体" w:cs="宋体"/>
                <w:color w:val="000000"/>
                <w:kern w:val="0"/>
                <w:sz w:val="21"/>
                <w:szCs w:val="21"/>
                <w:highlight w:val="none"/>
                <w:lang w:val="en-US" w:eastAsia="zh-CN" w:bidi="ar-SA"/>
              </w:rPr>
              <w:t>3.明厨亮灶</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餐饮服务经营者实施明厨亮灶管理，采用透明、视频等方式，将厨房环境卫生、冷食类食品加工制作、生食类食品加工制作、烹饪和餐饮具清洗消毒等过程，向社会公众展示。</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现场抽查：随机抽查</w:t>
            </w:r>
            <w:r>
              <w:rPr>
                <w:rFonts w:hint="eastAsia" w:ascii="宋体" w:hAnsi="宋体" w:eastAsia="宋体" w:cs="宋体"/>
                <w:color w:val="000000"/>
                <w:kern w:val="0"/>
                <w:sz w:val="24"/>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500平米的1家餐馆和1家单位食堂。</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在抽查的单位中：</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1.实施明厨亮灶设施，得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分；未实施</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2.展示位置符合规定要求，得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分；不符合规定要求</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2家抽查单位满分为</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3</w:t>
            </w:r>
            <w:r>
              <w:rPr>
                <w:rFonts w:hint="eastAsia" w:ascii="宋体" w:hAnsi="宋体" w:eastAsia="宋体" w:cs="宋体"/>
                <w:color w:val="000000"/>
                <w:kern w:val="0"/>
                <w:sz w:val="21"/>
                <w:szCs w:val="21"/>
                <w:highlight w:val="none"/>
                <w:lang w:val="en-US" w:eastAsia="zh-CN" w:bidi="ar-SA"/>
              </w:rPr>
              <w:t>4</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食品安全管理</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食品采购、贮存、加工制作、销售符合食品安全要求。</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现场抽查：随机抽查</w:t>
            </w:r>
            <w:r>
              <w:rPr>
                <w:rFonts w:hint="eastAsia" w:ascii="宋体" w:hAnsi="宋体" w:eastAsia="宋体" w:cs="宋体"/>
                <w:color w:val="000000"/>
                <w:kern w:val="0"/>
                <w:sz w:val="24"/>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500平米的1家餐馆和1家单位食堂，了解食品安全管理情况。</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管理要求：</w:t>
            </w:r>
          </w:p>
          <w:p>
            <w:pPr>
              <w:widowControl/>
              <w:jc w:val="both"/>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采购食品建立食品采购索证索票和登记台账制度。2</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食品贮存做到分类分架、隔墙离地、生熟分开，并按照包装标识的条件进行存放。3</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食品加工制作场所布局及工艺流程合理，防止原料与成品、生食品与熟食品交叉污染，避免食品接触有毒及不洁物。</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在抽查的单位中：</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1.食品采购符合要求，得</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分；不符合要求</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2.食品贮存符合要求，得</w:t>
            </w:r>
            <w:r>
              <w:rPr>
                <w:rFonts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分；不符合要求</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3.食品加工制作符合要求，得2分；不符合要求</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2家抽查单位满分为8分。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8分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8"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3</w:t>
            </w:r>
            <w:r>
              <w:rPr>
                <w:rFonts w:hint="eastAsia" w:ascii="宋体" w:hAnsi="宋体" w:eastAsia="宋体" w:cs="宋体"/>
                <w:color w:val="000000"/>
                <w:kern w:val="0"/>
                <w:sz w:val="21"/>
                <w:szCs w:val="21"/>
                <w:highlight w:val="none"/>
                <w:lang w:val="en-US" w:eastAsia="zh-CN" w:bidi="ar-SA"/>
              </w:rPr>
              <w:t>5.农药化肥使用及废弃农膜回收利用</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以农药化肥减量增效为重点，推行绿色防控和病虫害统防统治，应用新型高效植保机械和高效低毒低残留农药，推广科学施肥技术和新型肥料，推进有机肥替代化肥，健全废旧</w:t>
            </w:r>
            <w:r>
              <w:rPr>
                <w:rFonts w:hint="eastAsia" w:ascii="宋体" w:hAnsi="宋体" w:cs="宋体"/>
                <w:color w:val="000000"/>
                <w:kern w:val="0"/>
                <w:sz w:val="21"/>
                <w:szCs w:val="21"/>
                <w:highlight w:val="none"/>
                <w:lang w:val="en-US" w:eastAsia="zh-CN" w:bidi="ar-SA"/>
              </w:rPr>
              <w:t>农</w:t>
            </w:r>
            <w:r>
              <w:rPr>
                <w:rFonts w:hint="eastAsia" w:ascii="宋体" w:hAnsi="宋体" w:eastAsia="宋体" w:cs="宋体"/>
                <w:color w:val="000000"/>
                <w:kern w:val="0"/>
                <w:sz w:val="21"/>
                <w:szCs w:val="21"/>
                <w:highlight w:val="none"/>
                <w:lang w:val="en-US" w:eastAsia="zh-CN" w:bidi="ar-SA"/>
              </w:rPr>
              <w:t>膜和农药化肥包装物等白色污染回收利用机制，建立回收利用体系，强化田间监测。</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查阅资料：农药化肥减量增效和农膜的统计年鉴、工作记录、年度总结报告等。</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资料来源：农业农村、统计等行政主管部门。</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1.主要作物农药利用率＞4</w:t>
            </w:r>
            <w:r>
              <w:rPr>
                <w:rFonts w:ascii="宋体" w:hAnsi="宋体" w:eastAsia="宋体" w:cs="宋体"/>
                <w:color w:val="000000"/>
                <w:kern w:val="0"/>
                <w:sz w:val="21"/>
                <w:szCs w:val="21"/>
                <w:highlight w:val="none"/>
                <w:lang w:val="en-US" w:eastAsia="zh-CN" w:bidi="ar-SA"/>
              </w:rPr>
              <w:t>0</w:t>
            </w:r>
            <w:r>
              <w:rPr>
                <w:rFonts w:hint="eastAsia" w:ascii="宋体" w:hAnsi="宋体" w:eastAsia="宋体" w:cs="宋体"/>
                <w:color w:val="000000"/>
                <w:kern w:val="0"/>
                <w:sz w:val="21"/>
                <w:szCs w:val="21"/>
                <w:highlight w:val="none"/>
                <w:lang w:val="en-US" w:eastAsia="zh-CN" w:bidi="ar-SA"/>
              </w:rPr>
              <w:t>%，得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分；≤40%</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2.主要作物化肥利用率＞4</w:t>
            </w:r>
            <w:r>
              <w:rPr>
                <w:rFonts w:ascii="宋体" w:hAnsi="宋体" w:eastAsia="宋体" w:cs="宋体"/>
                <w:color w:val="000000"/>
                <w:kern w:val="0"/>
                <w:sz w:val="21"/>
                <w:szCs w:val="21"/>
                <w:highlight w:val="none"/>
                <w:lang w:val="en-US" w:eastAsia="zh-CN" w:bidi="ar-SA"/>
              </w:rPr>
              <w:t>0</w:t>
            </w:r>
            <w:r>
              <w:rPr>
                <w:rFonts w:hint="eastAsia" w:ascii="宋体" w:hAnsi="宋体" w:eastAsia="宋体" w:cs="宋体"/>
                <w:color w:val="000000"/>
                <w:kern w:val="0"/>
                <w:sz w:val="21"/>
                <w:szCs w:val="21"/>
                <w:highlight w:val="none"/>
                <w:lang w:val="en-US" w:eastAsia="zh-CN" w:bidi="ar-SA"/>
              </w:rPr>
              <w:t>%，得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分；≤40%</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3.废旧农膜回收率＞8</w:t>
            </w:r>
            <w:r>
              <w:rPr>
                <w:rFonts w:ascii="宋体" w:hAnsi="宋体" w:eastAsia="宋体" w:cs="宋体"/>
                <w:color w:val="000000"/>
                <w:kern w:val="0"/>
                <w:sz w:val="21"/>
                <w:szCs w:val="21"/>
                <w:highlight w:val="none"/>
                <w:lang w:val="en-US" w:eastAsia="zh-CN" w:bidi="ar-SA"/>
              </w:rPr>
              <w:t>0</w:t>
            </w:r>
            <w:r>
              <w:rPr>
                <w:rFonts w:hint="eastAsia" w:ascii="宋体" w:hAnsi="宋体" w:eastAsia="宋体" w:cs="宋体"/>
                <w:color w:val="000000"/>
                <w:kern w:val="0"/>
                <w:sz w:val="21"/>
                <w:szCs w:val="21"/>
                <w:highlight w:val="none"/>
                <w:lang w:val="en-US" w:eastAsia="zh-CN" w:bidi="ar-SA"/>
              </w:rPr>
              <w:t>%，得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分；≤80%</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w:t>
            </w:r>
            <w:r>
              <w:rPr>
                <w:rFonts w:ascii="宋体" w:hAnsi="宋体" w:eastAsia="宋体" w:cs="宋体"/>
                <w:color w:val="000000"/>
                <w:kern w:val="0"/>
                <w:sz w:val="21"/>
                <w:szCs w:val="21"/>
                <w:highlight w:val="none"/>
                <w:lang w:val="en-US" w:eastAsia="zh-CN" w:bidi="ar-SA"/>
              </w:rPr>
              <w:t>6</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6分</w:t>
            </w:r>
          </w:p>
        </w:tc>
        <w:tc>
          <w:tcPr>
            <w:tcW w:w="900"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3</w:t>
            </w:r>
            <w:r>
              <w:rPr>
                <w:rFonts w:hint="eastAsia" w:ascii="宋体" w:hAnsi="宋体" w:eastAsia="宋体" w:cs="宋体"/>
                <w:color w:val="000000"/>
                <w:kern w:val="0"/>
                <w:sz w:val="21"/>
                <w:szCs w:val="21"/>
                <w:highlight w:val="none"/>
                <w:lang w:val="en-US" w:eastAsia="zh-CN" w:bidi="ar-SA"/>
              </w:rPr>
              <w:t>6.畜禽粪污和秸秆资源化利用</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开展畜禽粪污资源化利用和秸秆综合利用工作，建立秸秆台账和养殖场直联直报系统，支持规模养殖场粪污处理和粪肥还田设施建设与管理机制创新，支持开展秸秆肥料化、饲料化、能源化等“五料化”利用，不断提升促进畜禽粪污和秸秆资源化利用水平。</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查阅资料：畜禽粪污资源化利用、秸秆综合利用</w:t>
            </w:r>
            <w:r>
              <w:rPr>
                <w:rFonts w:hint="default" w:ascii="宋体" w:hAnsi="宋体" w:eastAsia="宋体" w:cs="宋体"/>
                <w:color w:val="000000"/>
                <w:kern w:val="0"/>
                <w:sz w:val="21"/>
                <w:szCs w:val="21"/>
                <w:highlight w:val="none"/>
                <w:lang w:val="en-US" w:eastAsia="zh-CN" w:bidi="ar-SA"/>
              </w:rPr>
              <w:t>的工作记录、年度总结报告</w:t>
            </w:r>
            <w:r>
              <w:rPr>
                <w:rFonts w:hint="eastAsia" w:ascii="宋体" w:hAnsi="宋体" w:eastAsia="宋体" w:cs="宋体"/>
                <w:color w:val="000000"/>
                <w:kern w:val="0"/>
                <w:sz w:val="21"/>
                <w:szCs w:val="21"/>
                <w:highlight w:val="none"/>
                <w:lang w:val="en-US" w:eastAsia="zh-CN" w:bidi="ar-SA"/>
              </w:rPr>
              <w:t>，以及养殖场直联直报系统和秸秆台账。</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资料来源：农业农村行政主管部门。</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1.畜禽粪污综合利用率＞7</w:t>
            </w:r>
            <w:r>
              <w:rPr>
                <w:rFonts w:ascii="宋体" w:hAnsi="宋体" w:eastAsia="宋体" w:cs="宋体"/>
                <w:color w:val="000000"/>
                <w:kern w:val="0"/>
                <w:sz w:val="21"/>
                <w:szCs w:val="21"/>
                <w:highlight w:val="none"/>
                <w:lang w:val="en-US" w:eastAsia="zh-CN" w:bidi="ar-SA"/>
              </w:rPr>
              <w:t>6</w:t>
            </w:r>
            <w:r>
              <w:rPr>
                <w:rFonts w:hint="eastAsia" w:ascii="宋体" w:hAnsi="宋体" w:eastAsia="宋体" w:cs="宋体"/>
                <w:color w:val="000000"/>
                <w:kern w:val="0"/>
                <w:sz w:val="21"/>
                <w:szCs w:val="21"/>
                <w:highlight w:val="none"/>
                <w:lang w:val="en-US" w:eastAsia="zh-CN" w:bidi="ar-SA"/>
              </w:rPr>
              <w:t>%，得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分；≤76%</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2.秸秆综合利用率＞8</w:t>
            </w:r>
            <w:r>
              <w:rPr>
                <w:rFonts w:ascii="宋体" w:hAnsi="宋体" w:eastAsia="宋体" w:cs="宋体"/>
                <w:color w:val="000000"/>
                <w:kern w:val="0"/>
                <w:sz w:val="21"/>
                <w:szCs w:val="21"/>
                <w:highlight w:val="none"/>
                <w:lang w:val="en-US" w:eastAsia="zh-CN" w:bidi="ar-SA"/>
              </w:rPr>
              <w:t>6</w:t>
            </w:r>
            <w:r>
              <w:rPr>
                <w:rFonts w:hint="eastAsia" w:ascii="宋体" w:hAnsi="宋体" w:eastAsia="宋体" w:cs="宋体"/>
                <w:color w:val="000000"/>
                <w:kern w:val="0"/>
                <w:sz w:val="21"/>
                <w:szCs w:val="21"/>
                <w:highlight w:val="none"/>
                <w:lang w:val="en-US" w:eastAsia="zh-CN" w:bidi="ar-SA"/>
              </w:rPr>
              <w:t>%，得2分；≤86%</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该指标满分为6分。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6</w:t>
            </w:r>
            <w:r>
              <w:rPr>
                <w:rFonts w:ascii="宋体" w:hAnsi="宋体" w:eastAsia="宋体" w:cs="宋体"/>
                <w:color w:val="000000"/>
                <w:kern w:val="0"/>
                <w:sz w:val="21"/>
                <w:szCs w:val="21"/>
                <w:highlight w:val="none"/>
                <w:lang w:val="en-US" w:eastAsia="zh-CN" w:bidi="ar-SA"/>
              </w:rPr>
              <w:t>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0" w:hRule="atLeast"/>
          <w:jc w:val="center"/>
        </w:trPr>
        <w:tc>
          <w:tcPr>
            <w:tcW w:w="589" w:type="dxa"/>
            <w:vMerge w:val="restart"/>
            <w:noWrap w:val="0"/>
            <w:vAlign w:val="top"/>
          </w:tcPr>
          <w:p>
            <w:pPr>
              <w:spacing w:line="400" w:lineRule="atLeast"/>
              <w:jc w:val="both"/>
              <w:rPr>
                <w:rFonts w:ascii="宋体" w:hAnsi="宋体" w:eastAsia="宋体" w:cs="Times New Roman"/>
                <w:color w:val="000000"/>
                <w:szCs w:val="21"/>
                <w:highlight w:val="none"/>
              </w:rPr>
            </w:pPr>
            <w:r>
              <w:rPr>
                <w:rFonts w:hint="eastAsia" w:ascii="宋体" w:hAnsi="宋体" w:eastAsia="宋体" w:cs="仿宋"/>
                <w:b/>
                <w:bCs/>
                <w:kern w:val="0"/>
                <w:szCs w:val="21"/>
                <w:highlight w:val="none"/>
              </w:rPr>
              <w:t>三、健康社会</w:t>
            </w:r>
          </w:p>
        </w:tc>
        <w:tc>
          <w:tcPr>
            <w:tcW w:w="695"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第十六条</w:t>
            </w: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3</w:t>
            </w:r>
            <w:r>
              <w:rPr>
                <w:rFonts w:hint="eastAsia" w:ascii="宋体" w:hAnsi="宋体" w:eastAsia="宋体" w:cs="宋体"/>
                <w:color w:val="000000"/>
                <w:kern w:val="0"/>
                <w:sz w:val="21"/>
                <w:szCs w:val="21"/>
                <w:highlight w:val="none"/>
                <w:lang w:val="en-US" w:eastAsia="zh-CN" w:bidi="ar-SA"/>
              </w:rPr>
              <w:t>7.健康乡镇和健康细胞建设管理</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辖区内参照全国爱卫办、健康中国行动推进办下发的健康乡镇和健康村、健康社区、健康机关、健康企业、健康学校、健康促进医院、健康家庭等建设规范，全面推进健康乡镇建设，并广泛开展7类健康细胞建设。建立推进机制</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出台相关文件、实施方案等，并开展人员培训、指导评估、总结宣传等管理工作。</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查阅资料：健康细胞建设实施方案</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工作报告等相关资料。</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资料来源：健康细胞建设主管部门及相关部门等。</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1.在辖区内开展健康乡镇建设，得6分；未开展</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2.在辖区内开展前述7类健康细胞建设，每开展1类，得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分；未开展建设</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不得分；满分14分。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该指标满分为20分。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20分</w:t>
            </w:r>
          </w:p>
        </w:tc>
        <w:tc>
          <w:tcPr>
            <w:tcW w:w="900" w:type="dxa"/>
            <w:vMerge w:val="restart"/>
            <w:noWrap w:val="0"/>
            <w:vAlign w:val="top"/>
          </w:tcPr>
          <w:p>
            <w:pPr>
              <w:widowControl/>
              <w:numPr>
                <w:ilvl w:val="0"/>
                <w:numId w:val="0"/>
              </w:numPr>
              <w:jc w:val="both"/>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见附录2：70、71。</w:t>
            </w:r>
            <w:r>
              <w:rPr>
                <w:rFonts w:hint="eastAsia" w:ascii="宋体" w:hAnsi="宋体" w:eastAsia="宋体" w:cs="宋体"/>
                <w:color w:val="000000"/>
                <w:kern w:val="0"/>
                <w:sz w:val="21"/>
                <w:szCs w:val="21"/>
                <w:highlight w:val="none"/>
                <w:lang w:val="en-US" w:eastAsia="zh-CN" w:bidi="ar-S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589" w:type="dxa"/>
            <w:vMerge w:val="continue"/>
            <w:noWrap w:val="0"/>
            <w:vAlign w:val="top"/>
          </w:tcPr>
          <w:p>
            <w:pPr>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38.健康乡镇和健康细胞建设覆盖率</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健康乡镇、健康促进医院和健康企业建设的比例和数量达到要求，其他5类健康细胞建设的覆盖率逐年提升。建设覆盖率达到100%的继续保持。</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查阅资料：健康细胞建设清单及本底资料等。</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资料来源：健康细胞建设主管部门及相关部门等。</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1.辖区内健康乡镇建设覆盖率≥30%</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得9分；＜30%，得5分；未开展建设</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2.辖区内二级及以上医院中，健康促进医院建设比例≥50%，得6分；＜50%，得3分；未开展建设</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3.辖区内健康企业数量≥3家，得3分；＜3家，得2分；无健康企业</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4.辖区每年新增健康企业≥1家，得3分；无新增</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5.辖区内其他5类健康细胞建设覆盖率逐年提升，每类得5分；无提升，每类得3分；未开展建设</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不得分；满分</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5分。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该指标满分为46分。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46分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589" w:type="dxa"/>
            <w:vMerge w:val="continue"/>
            <w:noWrap w:val="0"/>
            <w:vAlign w:val="top"/>
          </w:tcPr>
          <w:p>
            <w:pPr>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39</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健康细胞建设质量</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提升各类健康细胞建设水平，达到本省或当地健康细胞建设要求。</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现场抽查：在已完成建设的健康细胞中，随机抽取1个城区的居民小区、1个行政村、2家党政机关、2家企业、1个小学和1个中学、1家县级医院和1家乡镇卫生院，结合本省或当地健康细胞评价标准，对其建设情况进行评价。</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在抽取的10个场所中，每个场所达到合格及以上评分，得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分；未达到</w:t>
            </w:r>
            <w:r>
              <w:rPr>
                <w:rFonts w:hint="eastAsia" w:ascii="宋体" w:hAnsi="宋体" w:cs="宋体"/>
                <w:color w:val="000000"/>
                <w:kern w:val="0"/>
                <w:sz w:val="21"/>
                <w:szCs w:val="21"/>
                <w:highlight w:val="none"/>
                <w:lang w:val="en-US" w:eastAsia="zh-CN" w:bidi="ar-SA"/>
              </w:rPr>
              <w:t>合格，</w:t>
            </w:r>
            <w:r>
              <w:rPr>
                <w:rFonts w:hint="eastAsia" w:ascii="宋体" w:hAnsi="宋体" w:eastAsia="宋体" w:cs="宋体"/>
                <w:color w:val="000000"/>
                <w:kern w:val="0"/>
                <w:sz w:val="21"/>
                <w:szCs w:val="21"/>
                <w:highlight w:val="none"/>
                <w:lang w:val="en-US" w:eastAsia="zh-CN" w:bidi="ar-SA"/>
              </w:rPr>
              <w:t>不得分；10个场所满分为</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0分。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40</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589" w:type="dxa"/>
            <w:vMerge w:val="continue"/>
            <w:noWrap w:val="0"/>
            <w:vAlign w:val="top"/>
          </w:tcPr>
          <w:p>
            <w:pPr>
              <w:widowControl/>
              <w:spacing w:line="400" w:lineRule="atLeast"/>
              <w:jc w:val="both"/>
              <w:rPr>
                <w:rFonts w:ascii="宋体" w:hAnsi="宋体" w:eastAsia="宋体" w:cs="Times New Roman"/>
                <w:szCs w:val="21"/>
                <w:highlight w:val="none"/>
              </w:rPr>
            </w:pPr>
          </w:p>
        </w:tc>
        <w:tc>
          <w:tcPr>
            <w:tcW w:w="695" w:type="dxa"/>
            <w:vMerge w:val="restart"/>
            <w:noWrap w:val="0"/>
            <w:vAlign w:val="top"/>
          </w:tcPr>
          <w:p>
            <w:pPr>
              <w:widowControl/>
              <w:jc w:val="both"/>
              <w:rPr>
                <w:rFonts w:ascii="宋体" w:hAnsi="宋体" w:eastAsia="宋体" w:cs="宋体"/>
                <w:bCs/>
                <w:color w:val="000000"/>
                <w:kern w:val="0"/>
                <w:sz w:val="21"/>
                <w:szCs w:val="21"/>
                <w:highlight w:val="none"/>
                <w:lang w:val="en-US" w:eastAsia="zh-CN" w:bidi="ar-SA"/>
              </w:rPr>
            </w:pPr>
            <w:r>
              <w:rPr>
                <w:rFonts w:hint="eastAsia" w:ascii="宋体" w:hAnsi="宋体" w:eastAsia="宋体" w:cs="宋体"/>
                <w:bCs/>
                <w:color w:val="000000"/>
                <w:kern w:val="0"/>
                <w:sz w:val="21"/>
                <w:szCs w:val="21"/>
                <w:highlight w:val="none"/>
                <w:lang w:val="en-US" w:eastAsia="zh-CN" w:bidi="ar-SA"/>
              </w:rPr>
              <w:t>第十七条</w:t>
            </w: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40.基本医疗保险覆盖率</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基本医疗保险参保率每年稳定在95%以上。</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查阅资料：医疗保障信息平台。</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资料来源：医保等部门。</w:t>
            </w:r>
          </w:p>
        </w:tc>
        <w:tc>
          <w:tcPr>
            <w:tcW w:w="5836" w:type="dxa"/>
            <w:noWrap w:val="0"/>
            <w:vAlign w:val="top"/>
          </w:tcPr>
          <w:p>
            <w:pPr>
              <w:widowControl/>
              <w:jc w:val="both"/>
              <w:rPr>
                <w:rFonts w:hint="default"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参保率≥95%，得</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分；＜95%者，计算公式为：（N%/95%）×</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，N</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为受评对象参保率。</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900"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见附录2：72、73、74、75。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4"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41</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医疗保障水平</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城乡居民基本医疗保险政策范围内住院费用基金支付比例稳定在70%左右。</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查阅资料：医疗保障信息平台。</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资料来源：医保等部门。</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城乡居民基本医疗保险政策范围内住院费用基金支付比例≥65%且≤75%者</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得</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分；＜65%者，计算公式为：（N%/65%）×</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，N</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为受评对象基金支付比例；＞75%者，计算公式为：（75%/N%）×</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,N</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为受评对象基金支付比例。</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c>
          <w:tcPr>
            <w:tcW w:w="968"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42</w:t>
            </w:r>
            <w:r>
              <w:rPr>
                <w:rFonts w:ascii="宋体" w:hAnsi="宋体" w:eastAsia="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强化社会福利保障</w:t>
            </w:r>
          </w:p>
        </w:tc>
        <w:tc>
          <w:tcPr>
            <w:tcW w:w="24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合理确定社会福利保障范围，确保老年人、残疾人、孤儿、精神障碍患者等特殊群体有尊严地生活和平等参与社会发展。</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查阅资料：相关统计信息系统。</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资料来源：民政、社保等部门。</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1.基本养老保险参保率≥95%，得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分；＜95%者，计算公式为:（N%/95%）×</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，N</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为受评对象基本养老保险参保率。</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2.困难残疾人生活补贴目标人群覆盖率达到100%，得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分；＜100%者，计算公式为：（N%/100%）×</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，N</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为受评对象覆盖率。</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3.重度残疾人护理补贴目标人群覆盖率达到100%，得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分；＜100%者，计算公式为：（N%/100%）×</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，N</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为受评对象覆盖率。</w:t>
            </w:r>
          </w:p>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.孤儿和事实无人抚养儿童保障覆盖率达到100%，得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分；＜100%者，计算公式为：（N%/100%）×</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，N</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为受评对象覆盖率。</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w:t>
            </w:r>
            <w:r>
              <w:rPr>
                <w:rFonts w:ascii="宋体" w:hAnsi="宋体" w:eastAsia="宋体" w:cs="宋体"/>
                <w:color w:val="000000"/>
                <w:kern w:val="0"/>
                <w:sz w:val="21"/>
                <w:szCs w:val="21"/>
                <w:highlight w:val="none"/>
                <w:lang w:val="en-US" w:eastAsia="zh-CN" w:bidi="ar-SA"/>
              </w:rPr>
              <w:t>16</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16</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restart"/>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第十八条</w:t>
            </w:r>
          </w:p>
        </w:tc>
        <w:tc>
          <w:tcPr>
            <w:tcW w:w="968" w:type="dxa"/>
            <w:noWrap w:val="0"/>
            <w:vAlign w:val="top"/>
          </w:tcPr>
          <w:p>
            <w:pPr>
              <w:widowControl/>
              <w:jc w:val="both"/>
              <w:rPr>
                <w:rFonts w:hint="default" w:ascii="宋体" w:hAnsi="宋体" w:eastAsia="宋体" w:cs="宋体"/>
                <w:color w:val="000000"/>
                <w:kern w:val="0"/>
                <w:szCs w:val="21"/>
                <w:highlight w:val="none"/>
                <w:lang w:val="en-US" w:eastAsia="zh-CN"/>
              </w:rPr>
            </w:pP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lang w:val="en-US" w:eastAsia="zh-CN"/>
              </w:rPr>
              <w:t>3</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rPr>
              <w:t>强化老龄工作顶层设计</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依据</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“十四五”国家老龄事业发展和养老服务体系规划</w:t>
            </w:r>
            <w:r>
              <w:rPr>
                <w:rFonts w:hint="eastAsia" w:ascii="宋体" w:hAnsi="宋体" w:eastAsia="宋体" w:cs="宋体"/>
                <w:color w:val="000000"/>
                <w:kern w:val="0"/>
                <w:szCs w:val="21"/>
                <w:highlight w:val="none"/>
                <w:lang w:eastAsia="zh-CN"/>
              </w:rPr>
              <w:t>》，</w:t>
            </w:r>
            <w:r>
              <w:rPr>
                <w:rFonts w:ascii="宋体" w:hAnsi="宋体" w:eastAsia="宋体" w:cs="宋体"/>
                <w:color w:val="000000"/>
                <w:kern w:val="0"/>
                <w:szCs w:val="21"/>
                <w:highlight w:val="none"/>
              </w:rPr>
              <w:t>将老龄</w:t>
            </w:r>
            <w:r>
              <w:rPr>
                <w:rFonts w:hint="eastAsia" w:ascii="宋体" w:hAnsi="宋体" w:eastAsia="宋体" w:cs="宋体"/>
                <w:color w:val="000000"/>
                <w:kern w:val="0"/>
                <w:szCs w:val="21"/>
                <w:highlight w:val="none"/>
              </w:rPr>
              <w:t>事业发展和养老服务体系主要任务指标纳入当地经济社会发展规划，纳入为民办实事项目，纳入政府工作议事日程和目标责任考核内容。</w:t>
            </w:r>
            <w:r>
              <w:rPr>
                <w:rFonts w:ascii="宋体" w:hAnsi="宋体" w:eastAsia="宋体" w:cs="宋体"/>
                <w:color w:val="000000"/>
                <w:kern w:val="0"/>
                <w:szCs w:val="21"/>
                <w:highlight w:val="none"/>
              </w:rPr>
              <w:t>落实《中共中央国务院关于加强新时代老龄工作的意见》、国家和省级老龄事业发展和养老服务体系规划。</w:t>
            </w:r>
          </w:p>
        </w:tc>
        <w:tc>
          <w:tcPr>
            <w:tcW w:w="3095"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查阅资料：工作报告、会议纪要、</w:t>
            </w:r>
            <w:r>
              <w:rPr>
                <w:rFonts w:hint="eastAsia" w:ascii="宋体" w:hAnsi="宋体" w:eastAsia="宋体" w:cs="宋体"/>
                <w:color w:val="000000"/>
                <w:kern w:val="0"/>
                <w:szCs w:val="21"/>
                <w:highlight w:val="none"/>
              </w:rPr>
              <w:t>相关</w:t>
            </w:r>
            <w:r>
              <w:rPr>
                <w:rFonts w:ascii="宋体" w:hAnsi="宋体" w:eastAsia="宋体" w:cs="宋体"/>
                <w:color w:val="000000"/>
                <w:kern w:val="0"/>
                <w:szCs w:val="21"/>
                <w:highlight w:val="none"/>
              </w:rPr>
              <w:t>规划和</w:t>
            </w:r>
            <w:r>
              <w:rPr>
                <w:rFonts w:hint="eastAsia" w:ascii="宋体" w:hAnsi="宋体" w:eastAsia="宋体" w:cs="宋体"/>
                <w:color w:val="000000"/>
                <w:kern w:val="0"/>
                <w:szCs w:val="21"/>
                <w:highlight w:val="none"/>
              </w:rPr>
              <w:t>实施</w:t>
            </w:r>
            <w:r>
              <w:rPr>
                <w:rFonts w:ascii="宋体" w:hAnsi="宋体" w:eastAsia="宋体" w:cs="宋体"/>
                <w:color w:val="000000"/>
                <w:kern w:val="0"/>
                <w:szCs w:val="21"/>
                <w:highlight w:val="none"/>
              </w:rPr>
              <w:t>方案</w:t>
            </w:r>
            <w:r>
              <w:rPr>
                <w:rFonts w:hint="eastAsia" w:ascii="宋体" w:hAnsi="宋体" w:eastAsia="宋体" w:cs="宋体"/>
                <w:color w:val="000000"/>
                <w:kern w:val="0"/>
                <w:szCs w:val="21"/>
                <w:highlight w:val="none"/>
              </w:rPr>
              <w:t>等政策</w:t>
            </w:r>
            <w:r>
              <w:rPr>
                <w:rFonts w:ascii="宋体" w:hAnsi="宋体" w:eastAsia="宋体" w:cs="宋体"/>
                <w:color w:val="000000"/>
                <w:kern w:val="0"/>
                <w:szCs w:val="21"/>
                <w:highlight w:val="none"/>
              </w:rPr>
              <w:t>文件。</w:t>
            </w:r>
          </w:p>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资料来源：</w:t>
            </w:r>
            <w:r>
              <w:rPr>
                <w:rFonts w:hint="eastAsia" w:ascii="宋体" w:hAnsi="宋体" w:eastAsia="宋体" w:cs="宋体"/>
                <w:color w:val="000000"/>
                <w:kern w:val="0"/>
                <w:szCs w:val="21"/>
                <w:highlight w:val="none"/>
                <w:lang w:val="en-US" w:eastAsia="zh-CN"/>
              </w:rPr>
              <w:t>文件印发部门</w:t>
            </w:r>
            <w:r>
              <w:rPr>
                <w:rFonts w:ascii="宋体" w:hAnsi="宋体" w:eastAsia="宋体" w:cs="宋体"/>
                <w:color w:val="000000"/>
                <w:kern w:val="0"/>
                <w:szCs w:val="21"/>
                <w:highlight w:val="none"/>
              </w:rPr>
              <w:t>。</w:t>
            </w:r>
          </w:p>
        </w:tc>
        <w:tc>
          <w:tcPr>
            <w:tcW w:w="5836" w:type="dxa"/>
            <w:noWrap w:val="0"/>
            <w:vAlign w:val="top"/>
          </w:tcPr>
          <w:p>
            <w:pPr>
              <w:widowControl/>
              <w:jc w:val="both"/>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1.</w:t>
            </w:r>
            <w:r>
              <w:rPr>
                <w:rFonts w:hint="eastAsia" w:ascii="宋体" w:hAnsi="宋体" w:eastAsia="宋体" w:cs="宋体"/>
                <w:color w:val="000000"/>
                <w:kern w:val="0"/>
                <w:szCs w:val="21"/>
                <w:highlight w:val="none"/>
                <w:lang w:val="en-US" w:eastAsia="zh-CN"/>
              </w:rPr>
              <w:t>根据工作需要</w:t>
            </w:r>
            <w:r>
              <w:rPr>
                <w:rFonts w:hint="eastAsia" w:ascii="宋体" w:hAnsi="宋体" w:eastAsia="宋体" w:cs="宋体"/>
                <w:color w:val="000000"/>
                <w:kern w:val="0"/>
                <w:szCs w:val="21"/>
                <w:highlight w:val="none"/>
              </w:rPr>
              <w:t>召开老龄委</w:t>
            </w:r>
            <w:r>
              <w:rPr>
                <w:rFonts w:hint="eastAsia" w:ascii="宋体" w:hAnsi="宋体" w:eastAsia="宋体" w:cs="宋体"/>
                <w:color w:val="000000"/>
                <w:kern w:val="0"/>
                <w:szCs w:val="21"/>
                <w:highlight w:val="none"/>
                <w:lang w:val="en-US" w:eastAsia="zh-CN"/>
              </w:rPr>
              <w:t>工作</w:t>
            </w:r>
            <w:r>
              <w:rPr>
                <w:rFonts w:hint="eastAsia" w:ascii="宋体" w:hAnsi="宋体" w:eastAsia="宋体" w:cs="宋体"/>
                <w:color w:val="000000"/>
                <w:kern w:val="0"/>
                <w:szCs w:val="21"/>
                <w:highlight w:val="none"/>
              </w:rPr>
              <w:t>会议，得2分；未召开</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2.制定《中共中央国务院关于加强新时代老龄工作的意见》、老龄事业发展和养老服务体系规划的实施方案，得3分；未制定</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3.将老龄工作纳入本地区经济社会发展规划，得3分；未纳入，不得分。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8</w:t>
            </w:r>
            <w:r>
              <w:rPr>
                <w:rFonts w:hint="eastAsia" w:ascii="宋体" w:hAnsi="宋体" w:eastAsia="宋体" w:cs="宋体"/>
                <w:color w:val="000000"/>
                <w:kern w:val="0"/>
                <w:szCs w:val="21"/>
                <w:highlight w:val="none"/>
              </w:rPr>
              <w:t>分。</w:t>
            </w:r>
          </w:p>
        </w:tc>
        <w:tc>
          <w:tcPr>
            <w:tcW w:w="6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8分</w:t>
            </w:r>
          </w:p>
        </w:tc>
        <w:tc>
          <w:tcPr>
            <w:tcW w:w="900"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cs="宋体"/>
                <w:color w:val="000000"/>
                <w:kern w:val="0"/>
                <w:szCs w:val="21"/>
                <w:highlight w:val="none"/>
                <w:lang w:val="en-US" w:eastAsia="zh-CN"/>
              </w:rPr>
              <w:t>见附录2：74、76、77。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lang w:val="en-US" w:eastAsia="zh-CN"/>
              </w:rPr>
              <w:t>4</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rPr>
              <w:t>健康</w:t>
            </w:r>
            <w:r>
              <w:rPr>
                <w:rFonts w:ascii="宋体" w:hAnsi="宋体" w:eastAsia="宋体" w:cs="宋体"/>
                <w:color w:val="000000"/>
                <w:kern w:val="0"/>
                <w:szCs w:val="21"/>
                <w:highlight w:val="none"/>
              </w:rPr>
              <w:t>养老服务</w:t>
            </w:r>
          </w:p>
        </w:tc>
        <w:tc>
          <w:tcPr>
            <w:tcW w:w="24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养老服务覆盖城乡，兜底与普惠养老服务健全</w:t>
            </w:r>
            <w:r>
              <w:rPr>
                <w:rFonts w:hint="eastAsia" w:ascii="宋体" w:hAnsi="宋体" w:eastAsia="宋体" w:cs="宋体"/>
                <w:color w:val="000000"/>
                <w:kern w:val="0"/>
                <w:szCs w:val="21"/>
                <w:highlight w:val="none"/>
              </w:rPr>
              <w:t>。</w:t>
            </w:r>
            <w:r>
              <w:rPr>
                <w:rFonts w:ascii="宋体" w:hAnsi="宋体" w:eastAsia="宋体" w:cs="宋体"/>
                <w:color w:val="000000"/>
                <w:kern w:val="0"/>
                <w:szCs w:val="21"/>
                <w:highlight w:val="none"/>
              </w:rPr>
              <w:t>发展医养结合服务，为老年人提供多层次、多样化养老服务，保障独居、空巢、失能（含失智）、重残计划生育特殊家庭等特殊困难老年人的养老服务需求。</w:t>
            </w:r>
          </w:p>
        </w:tc>
        <w:tc>
          <w:tcPr>
            <w:tcW w:w="3095" w:type="dxa"/>
            <w:noWrap w:val="0"/>
            <w:vAlign w:val="top"/>
          </w:tcPr>
          <w:p>
            <w:pPr>
              <w:widowControl/>
              <w:jc w:val="both"/>
              <w:rPr>
                <w:rFonts w:ascii="宋体" w:hAnsi="宋体" w:eastAsia="宋体" w:cs="宋体"/>
                <w:kern w:val="0"/>
                <w:szCs w:val="21"/>
                <w:highlight w:val="none"/>
              </w:rPr>
            </w:pPr>
            <w:r>
              <w:rPr>
                <w:rFonts w:ascii="宋体" w:hAnsi="宋体" w:eastAsia="宋体" w:cs="宋体"/>
                <w:color w:val="000000"/>
                <w:kern w:val="0"/>
                <w:szCs w:val="21"/>
                <w:highlight w:val="none"/>
              </w:rPr>
              <w:t>查阅资料：</w:t>
            </w:r>
            <w:r>
              <w:rPr>
                <w:rFonts w:hint="eastAsia" w:ascii="宋体" w:hAnsi="宋体" w:eastAsia="宋体" w:cs="宋体"/>
                <w:kern w:val="0"/>
                <w:szCs w:val="21"/>
                <w:highlight w:val="none"/>
              </w:rPr>
              <w:t>健康</w:t>
            </w:r>
            <w:r>
              <w:rPr>
                <w:rFonts w:ascii="宋体" w:hAnsi="宋体" w:eastAsia="宋体" w:cs="宋体"/>
                <w:color w:val="000000"/>
                <w:kern w:val="0"/>
                <w:szCs w:val="21"/>
                <w:highlight w:val="none"/>
              </w:rPr>
              <w:t>养老服务相关</w:t>
            </w:r>
            <w:r>
              <w:rPr>
                <w:rFonts w:ascii="宋体" w:hAnsi="宋体" w:eastAsia="宋体" w:cs="宋体"/>
                <w:kern w:val="0"/>
                <w:szCs w:val="21"/>
                <w:highlight w:val="none"/>
              </w:rPr>
              <w:t>资料。</w:t>
            </w:r>
          </w:p>
          <w:p>
            <w:pPr>
              <w:widowControl/>
              <w:jc w:val="both"/>
              <w:rPr>
                <w:rFonts w:ascii="宋体" w:hAnsi="宋体" w:eastAsia="宋体" w:cs="宋体"/>
                <w:color w:val="000000"/>
                <w:kern w:val="0"/>
                <w:szCs w:val="21"/>
                <w:highlight w:val="none"/>
              </w:rPr>
            </w:pPr>
            <w:r>
              <w:rPr>
                <w:rFonts w:ascii="宋体" w:hAnsi="宋体" w:eastAsia="宋体" w:cs="宋体"/>
                <w:kern w:val="0"/>
                <w:szCs w:val="21"/>
                <w:highlight w:val="none"/>
              </w:rPr>
              <w:t>资料来源：</w:t>
            </w:r>
            <w:r>
              <w:rPr>
                <w:rFonts w:hint="eastAsia" w:ascii="宋体" w:hAnsi="宋体" w:eastAsia="宋体" w:cs="宋体"/>
                <w:kern w:val="0"/>
                <w:szCs w:val="21"/>
                <w:highlight w:val="none"/>
              </w:rPr>
              <w:t>民政、卫生健康等</w:t>
            </w:r>
            <w:r>
              <w:rPr>
                <w:rFonts w:ascii="宋体" w:hAnsi="宋体" w:eastAsia="宋体" w:cs="宋体"/>
                <w:kern w:val="0"/>
                <w:szCs w:val="21"/>
                <w:highlight w:val="none"/>
              </w:rPr>
              <w:t>相关部门</w:t>
            </w:r>
            <w:r>
              <w:rPr>
                <w:rFonts w:hint="eastAsia" w:ascii="宋体" w:hAnsi="宋体" w:eastAsia="宋体" w:cs="宋体"/>
                <w:color w:val="000000"/>
                <w:kern w:val="0"/>
                <w:szCs w:val="21"/>
                <w:highlight w:val="none"/>
              </w:rPr>
              <w:t>。</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w:t>
            </w:r>
            <w:r>
              <w:rPr>
                <w:rFonts w:ascii="宋体" w:hAnsi="宋体" w:eastAsia="宋体" w:cs="宋体"/>
                <w:color w:val="000000"/>
                <w:kern w:val="0"/>
                <w:szCs w:val="21"/>
                <w:highlight w:val="none"/>
              </w:rPr>
              <w:t>至少</w:t>
            </w:r>
            <w:r>
              <w:rPr>
                <w:rFonts w:hint="eastAsia" w:ascii="宋体" w:hAnsi="宋体" w:eastAsia="宋体" w:cs="宋体"/>
                <w:color w:val="000000"/>
                <w:kern w:val="0"/>
                <w:szCs w:val="21"/>
                <w:highlight w:val="none"/>
                <w:lang w:val="en-US" w:eastAsia="zh-CN"/>
              </w:rPr>
              <w:t>有</w:t>
            </w:r>
            <w:r>
              <w:rPr>
                <w:rFonts w:ascii="宋体" w:hAnsi="宋体" w:eastAsia="宋体" w:cs="宋体"/>
                <w:color w:val="000000"/>
                <w:kern w:val="0"/>
                <w:szCs w:val="21"/>
                <w:highlight w:val="none"/>
              </w:rPr>
              <w:t>1个县级特困人员供养服务设施（敬老院）</w:t>
            </w:r>
            <w:r>
              <w:rPr>
                <w:rFonts w:hint="eastAsia" w:ascii="宋体" w:hAnsi="宋体" w:eastAsia="宋体" w:cs="宋体"/>
                <w:color w:val="000000"/>
                <w:kern w:val="0"/>
                <w:szCs w:val="21"/>
                <w:highlight w:val="none"/>
              </w:rPr>
              <w:t>，得</w:t>
            </w: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rPr>
              <w:t>分；</w:t>
            </w:r>
            <w:r>
              <w:rPr>
                <w:rFonts w:hint="default" w:ascii="宋体" w:hAnsi="宋体" w:eastAsia="宋体" w:cs="宋体"/>
                <w:color w:val="000000"/>
                <w:kern w:val="0"/>
                <w:szCs w:val="21"/>
                <w:highlight w:val="none"/>
                <w:lang w:val="en-US" w:eastAsia="zh-CN"/>
              </w:rPr>
              <w:t>没有</w:t>
            </w:r>
            <w:r>
              <w:rPr>
                <w:rFonts w:hint="eastAsia" w:ascii="宋体" w:hAnsi="宋体" w:cs="宋体"/>
                <w:color w:val="000000"/>
                <w:kern w:val="0"/>
                <w:szCs w:val="21"/>
                <w:highlight w:val="none"/>
                <w:lang w:val="en-US"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2.发展医养结合服务：</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①制定推进医养结合发展的政策措施，得1分；未制定</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②开展多种形式的医养结合服务，得1分；未开展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③养老机构以不同形式为入住老年人提供医疗卫生服务的比例≥90%，得2分；＜90%</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w:t>
            </w:r>
            <w:r>
              <w:rPr>
                <w:rFonts w:ascii="宋体" w:hAnsi="宋体" w:eastAsia="宋体" w:cs="宋体"/>
                <w:color w:val="000000"/>
                <w:kern w:val="0"/>
                <w:szCs w:val="21"/>
                <w:highlight w:val="none"/>
              </w:rPr>
              <w:t>养老机构护理型床位占比≥55%，得</w:t>
            </w:r>
            <w:r>
              <w:rPr>
                <w:rFonts w:hint="eastAsia" w:ascii="宋体" w:hAnsi="宋体" w:eastAsia="宋体" w:cs="宋体"/>
                <w:color w:val="000000"/>
                <w:kern w:val="0"/>
                <w:szCs w:val="21"/>
                <w:highlight w:val="none"/>
              </w:rPr>
              <w:t>3</w:t>
            </w:r>
            <w:r>
              <w:rPr>
                <w:rFonts w:ascii="宋体" w:hAnsi="宋体" w:eastAsia="宋体" w:cs="宋体"/>
                <w:color w:val="000000"/>
                <w:kern w:val="0"/>
                <w:szCs w:val="21"/>
                <w:highlight w:val="none"/>
              </w:rPr>
              <w:t>分；</w:t>
            </w:r>
            <w:r>
              <w:rPr>
                <w:rFonts w:hint="eastAsia" w:ascii="宋体" w:hAnsi="宋体" w:eastAsia="宋体" w:cs="宋体"/>
                <w:color w:val="000000"/>
                <w:kern w:val="0"/>
                <w:szCs w:val="21"/>
                <w:highlight w:val="none"/>
              </w:rPr>
              <w:t>＜55%</w:t>
            </w:r>
            <w:r>
              <w:rPr>
                <w:rFonts w:hint="eastAsia" w:ascii="宋体" w:hAnsi="宋体" w:cs="宋体"/>
                <w:color w:val="000000"/>
                <w:kern w:val="0"/>
                <w:szCs w:val="21"/>
                <w:highlight w:val="none"/>
                <w:lang w:eastAsia="zh-CN"/>
              </w:rPr>
              <w:t>，</w:t>
            </w:r>
            <w:r>
              <w:rPr>
                <w:rFonts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4.综合性医院、康复医院、护理院和基层医疗卫生机构中老年友善医疗卫生机构占比≥85%，得3分；＜85%</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r>
              <w:rPr>
                <w:rFonts w:ascii="宋体" w:hAnsi="宋体" w:eastAsia="宋体" w:cs="宋体"/>
                <w:color w:val="000000"/>
                <w:kern w:val="0"/>
                <w:szCs w:val="21"/>
                <w:highlight w:val="none"/>
              </w:rPr>
              <w:t>。</w:t>
            </w:r>
          </w:p>
          <w:p>
            <w:pPr>
              <w:widowControl/>
              <w:jc w:val="both"/>
              <w:rPr>
                <w:rFonts w:ascii="宋体" w:hAnsi="宋体" w:eastAsia="宋体" w:cs="宋体"/>
                <w:color w:val="000000"/>
                <w:kern w:val="0"/>
                <w:szCs w:val="21"/>
                <w:highlight w:val="none"/>
              </w:rPr>
            </w:pPr>
            <w:r>
              <w:rPr>
                <w:rFonts w:hint="eastAsia" w:ascii="宋体" w:hAnsi="宋体" w:eastAsia="宋体" w:cs="宋体"/>
                <w:kern w:val="0"/>
                <w:szCs w:val="21"/>
                <w:highlight w:val="none"/>
              </w:rPr>
              <w:t>5.</w:t>
            </w:r>
            <w:r>
              <w:rPr>
                <w:rFonts w:ascii="宋体" w:hAnsi="宋体" w:eastAsia="宋体" w:cs="宋体"/>
                <w:color w:val="000000"/>
                <w:kern w:val="0"/>
                <w:szCs w:val="21"/>
                <w:highlight w:val="none"/>
              </w:rPr>
              <w:t>特</w:t>
            </w:r>
            <w:r>
              <w:rPr>
                <w:rFonts w:ascii="宋体" w:hAnsi="宋体" w:eastAsia="宋体" w:cs="宋体"/>
                <w:kern w:val="0"/>
                <w:szCs w:val="21"/>
                <w:highlight w:val="none"/>
              </w:rPr>
              <w:t>殊困难老年人远程或上门形式的月探访率达到100%</w:t>
            </w:r>
            <w:r>
              <w:rPr>
                <w:rFonts w:ascii="宋体" w:hAnsi="宋体" w:eastAsia="宋体" w:cs="宋体"/>
                <w:color w:val="000000"/>
                <w:kern w:val="0"/>
                <w:szCs w:val="21"/>
                <w:highlight w:val="none"/>
              </w:rPr>
              <w:t>，得</w:t>
            </w:r>
            <w:r>
              <w:rPr>
                <w:rFonts w:hint="eastAsia" w:ascii="宋体" w:hAnsi="宋体" w:eastAsia="宋体" w:cs="宋体"/>
                <w:color w:val="000000"/>
                <w:kern w:val="0"/>
                <w:szCs w:val="21"/>
                <w:highlight w:val="none"/>
              </w:rPr>
              <w:t>4</w:t>
            </w:r>
            <w:r>
              <w:rPr>
                <w:rFonts w:ascii="宋体" w:hAnsi="宋体" w:eastAsia="宋体" w:cs="宋体"/>
                <w:color w:val="000000"/>
                <w:kern w:val="0"/>
                <w:szCs w:val="21"/>
                <w:highlight w:val="none"/>
              </w:rPr>
              <w:t>分；</w:t>
            </w:r>
            <w:r>
              <w:rPr>
                <w:rFonts w:hint="eastAsia" w:ascii="宋体" w:hAnsi="宋体" w:eastAsia="宋体" w:cs="宋体"/>
                <w:color w:val="000000"/>
                <w:kern w:val="0"/>
                <w:szCs w:val="21"/>
                <w:highlight w:val="none"/>
              </w:rPr>
              <w:t>＜100%</w:t>
            </w:r>
            <w:r>
              <w:rPr>
                <w:rFonts w:hint="eastAsia" w:ascii="宋体" w:hAnsi="宋体" w:cs="宋体"/>
                <w:color w:val="000000"/>
                <w:kern w:val="0"/>
                <w:szCs w:val="21"/>
                <w:highlight w:val="none"/>
                <w:lang w:eastAsia="zh-CN"/>
              </w:rPr>
              <w:t>，</w:t>
            </w:r>
            <w:r>
              <w:rPr>
                <w:rFonts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6.</w:t>
            </w:r>
            <w:r>
              <w:rPr>
                <w:rFonts w:ascii="宋体" w:hAnsi="宋体" w:eastAsia="宋体" w:cs="宋体"/>
                <w:kern w:val="0"/>
                <w:szCs w:val="21"/>
                <w:highlight w:val="none"/>
              </w:rPr>
              <w:t>每千名老年人配备社会工作者人数≥1人</w:t>
            </w:r>
            <w:r>
              <w:rPr>
                <w:rFonts w:ascii="宋体" w:hAnsi="宋体" w:eastAsia="宋体" w:cs="宋体"/>
                <w:color w:val="000000"/>
                <w:kern w:val="0"/>
                <w:szCs w:val="21"/>
                <w:highlight w:val="none"/>
              </w:rPr>
              <w:t>，得</w:t>
            </w:r>
            <w:r>
              <w:rPr>
                <w:rFonts w:hint="eastAsia" w:ascii="宋体" w:hAnsi="宋体" w:eastAsia="宋体" w:cs="宋体"/>
                <w:color w:val="000000"/>
                <w:kern w:val="0"/>
                <w:szCs w:val="21"/>
                <w:highlight w:val="none"/>
              </w:rPr>
              <w:t>4</w:t>
            </w:r>
            <w:r>
              <w:rPr>
                <w:rFonts w:ascii="宋体" w:hAnsi="宋体" w:eastAsia="宋体" w:cs="宋体"/>
                <w:color w:val="000000"/>
                <w:kern w:val="0"/>
                <w:szCs w:val="21"/>
                <w:highlight w:val="none"/>
              </w:rPr>
              <w:t>分；</w:t>
            </w:r>
            <w:r>
              <w:rPr>
                <w:rFonts w:hint="eastAsia" w:ascii="宋体" w:hAnsi="宋体" w:eastAsia="宋体" w:cs="宋体"/>
                <w:color w:val="000000"/>
                <w:kern w:val="0"/>
                <w:szCs w:val="21"/>
                <w:highlight w:val="none"/>
              </w:rPr>
              <w:t>＜1人，得2分；</w:t>
            </w:r>
            <w:r>
              <w:rPr>
                <w:rFonts w:ascii="宋体" w:hAnsi="宋体" w:eastAsia="宋体" w:cs="宋体"/>
                <w:color w:val="000000"/>
                <w:kern w:val="0"/>
                <w:szCs w:val="21"/>
                <w:highlight w:val="none"/>
              </w:rPr>
              <w:t>未配备</w:t>
            </w:r>
            <w:r>
              <w:rPr>
                <w:rFonts w:hint="eastAsia" w:ascii="宋体" w:hAnsi="宋体" w:cs="宋体"/>
                <w:color w:val="000000"/>
                <w:kern w:val="0"/>
                <w:szCs w:val="21"/>
                <w:highlight w:val="none"/>
                <w:lang w:eastAsia="zh-CN"/>
              </w:rPr>
              <w:t>，</w:t>
            </w:r>
            <w:r>
              <w:rPr>
                <w:rFonts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2分。</w:t>
            </w:r>
          </w:p>
        </w:tc>
        <w:tc>
          <w:tcPr>
            <w:tcW w:w="6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2</w:t>
            </w:r>
            <w:r>
              <w:rPr>
                <w:rFonts w:ascii="宋体" w:hAnsi="宋体" w:eastAsia="宋体" w:cs="宋体"/>
                <w:color w:val="000000"/>
                <w:kern w:val="0"/>
                <w:szCs w:val="21"/>
                <w:highlight w:val="none"/>
              </w:rPr>
              <w:t>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jc w:val="both"/>
              <w:rPr>
                <w:rFonts w:ascii="宋体" w:hAnsi="宋体" w:eastAsia="宋体" w:cs="仿宋"/>
                <w:szCs w:val="21"/>
                <w:highlight w:val="none"/>
              </w:rPr>
            </w:pPr>
            <w:r>
              <w:rPr>
                <w:rFonts w:ascii="宋体" w:hAnsi="宋体" w:eastAsia="宋体" w:cs="仿宋"/>
                <w:szCs w:val="21"/>
                <w:highlight w:val="none"/>
              </w:rPr>
              <w:t>4</w:t>
            </w:r>
            <w:r>
              <w:rPr>
                <w:rFonts w:hint="eastAsia" w:ascii="宋体" w:hAnsi="宋体" w:eastAsia="宋体" w:cs="仿宋"/>
                <w:szCs w:val="21"/>
                <w:highlight w:val="none"/>
                <w:lang w:val="en-US" w:eastAsia="zh-CN"/>
              </w:rPr>
              <w:t>5.</w:t>
            </w:r>
            <w:r>
              <w:rPr>
                <w:rFonts w:ascii="宋体" w:hAnsi="宋体" w:eastAsia="宋体" w:cs="仿宋"/>
                <w:szCs w:val="21"/>
                <w:highlight w:val="none"/>
              </w:rPr>
              <w:t>居家适老化改造</w:t>
            </w:r>
          </w:p>
        </w:tc>
        <w:tc>
          <w:tcPr>
            <w:tcW w:w="2496" w:type="dxa"/>
            <w:noWrap w:val="0"/>
            <w:vAlign w:val="top"/>
          </w:tcPr>
          <w:p>
            <w:pPr>
              <w:jc w:val="both"/>
              <w:rPr>
                <w:rFonts w:ascii="宋体" w:hAnsi="宋体" w:eastAsia="宋体" w:cs="宋体"/>
                <w:color w:val="000000"/>
                <w:kern w:val="0"/>
                <w:szCs w:val="21"/>
                <w:highlight w:val="none"/>
              </w:rPr>
            </w:pPr>
            <w:r>
              <w:rPr>
                <w:rFonts w:ascii="宋体" w:hAnsi="宋体" w:eastAsia="宋体" w:cs="宋体"/>
                <w:kern w:val="0"/>
                <w:szCs w:val="21"/>
                <w:highlight w:val="none"/>
              </w:rPr>
              <w:t>对有需求的经济困难的失能、残疾、高龄等老年人家庭实施适老化改造，提供引导支持。</w:t>
            </w:r>
          </w:p>
        </w:tc>
        <w:tc>
          <w:tcPr>
            <w:tcW w:w="3095" w:type="dxa"/>
            <w:noWrap w:val="0"/>
            <w:vAlign w:val="top"/>
          </w:tcPr>
          <w:p>
            <w:pPr>
              <w:jc w:val="both"/>
              <w:rPr>
                <w:rFonts w:ascii="宋体" w:hAnsi="宋体" w:eastAsia="宋体" w:cs="宋体"/>
                <w:kern w:val="0"/>
                <w:szCs w:val="21"/>
                <w:highlight w:val="none"/>
              </w:rPr>
            </w:pPr>
            <w:r>
              <w:rPr>
                <w:rFonts w:ascii="宋体" w:hAnsi="宋体" w:eastAsia="宋体" w:cs="宋体"/>
                <w:kern w:val="0"/>
                <w:szCs w:val="21"/>
                <w:highlight w:val="none"/>
              </w:rPr>
              <w:t>查阅资料：相关文件</w:t>
            </w:r>
            <w:r>
              <w:rPr>
                <w:rFonts w:hint="eastAsia" w:ascii="宋体" w:hAnsi="宋体" w:eastAsia="宋体" w:cs="宋体"/>
                <w:kern w:val="0"/>
                <w:szCs w:val="21"/>
                <w:highlight w:val="none"/>
              </w:rPr>
              <w:t>和</w:t>
            </w:r>
            <w:r>
              <w:rPr>
                <w:rFonts w:ascii="宋体" w:hAnsi="宋体" w:eastAsia="宋体" w:cs="宋体"/>
                <w:kern w:val="0"/>
                <w:szCs w:val="21"/>
                <w:highlight w:val="none"/>
              </w:rPr>
              <w:t>数据记录等。</w:t>
            </w:r>
          </w:p>
          <w:p>
            <w:pPr>
              <w:jc w:val="both"/>
              <w:rPr>
                <w:rFonts w:ascii="宋体" w:hAnsi="宋体" w:eastAsia="宋体" w:cs="宋体"/>
                <w:color w:val="000000"/>
                <w:kern w:val="0"/>
                <w:szCs w:val="21"/>
                <w:highlight w:val="none"/>
              </w:rPr>
            </w:pPr>
            <w:r>
              <w:rPr>
                <w:rFonts w:ascii="宋体" w:hAnsi="宋体" w:eastAsia="宋体" w:cs="宋体"/>
                <w:kern w:val="0"/>
                <w:szCs w:val="21"/>
                <w:highlight w:val="none"/>
              </w:rPr>
              <w:t>资料来源：</w:t>
            </w:r>
            <w:r>
              <w:rPr>
                <w:rFonts w:hint="eastAsia" w:ascii="宋体" w:hAnsi="宋体" w:eastAsia="宋体" w:cs="宋体"/>
                <w:kern w:val="0"/>
                <w:szCs w:val="21"/>
                <w:highlight w:val="none"/>
              </w:rPr>
              <w:t>民政、住</w:t>
            </w:r>
            <w:r>
              <w:rPr>
                <w:rFonts w:hint="eastAsia" w:ascii="宋体" w:hAnsi="宋体" w:eastAsia="宋体" w:cs="宋体"/>
                <w:kern w:val="0"/>
                <w:szCs w:val="21"/>
                <w:highlight w:val="none"/>
                <w:lang w:val="en-US" w:eastAsia="zh-CN"/>
              </w:rPr>
              <w:t>房和城乡</w:t>
            </w:r>
            <w:r>
              <w:rPr>
                <w:rFonts w:hint="eastAsia" w:ascii="宋体" w:hAnsi="宋体" w:eastAsia="宋体" w:cs="宋体"/>
                <w:kern w:val="0"/>
                <w:szCs w:val="21"/>
                <w:highlight w:val="none"/>
              </w:rPr>
              <w:t>建</w:t>
            </w:r>
            <w:r>
              <w:rPr>
                <w:rFonts w:hint="eastAsia" w:ascii="宋体" w:hAnsi="宋体" w:eastAsia="宋体" w:cs="宋体"/>
                <w:kern w:val="0"/>
                <w:szCs w:val="21"/>
                <w:highlight w:val="none"/>
                <w:lang w:val="en-US" w:eastAsia="zh-CN"/>
              </w:rPr>
              <w:t>设</w:t>
            </w:r>
            <w:r>
              <w:rPr>
                <w:rFonts w:hint="eastAsia" w:ascii="宋体" w:hAnsi="宋体" w:eastAsia="宋体" w:cs="宋体"/>
                <w:kern w:val="0"/>
                <w:szCs w:val="21"/>
                <w:highlight w:val="none"/>
              </w:rPr>
              <w:t>等</w:t>
            </w:r>
            <w:r>
              <w:rPr>
                <w:rFonts w:ascii="宋体" w:hAnsi="宋体" w:eastAsia="宋体" w:cs="宋体"/>
                <w:kern w:val="0"/>
                <w:szCs w:val="21"/>
                <w:highlight w:val="none"/>
              </w:rPr>
              <w:t>相关部门。</w:t>
            </w:r>
          </w:p>
        </w:tc>
        <w:tc>
          <w:tcPr>
            <w:tcW w:w="5836" w:type="dxa"/>
            <w:noWrap w:val="0"/>
            <w:vAlign w:val="top"/>
          </w:tcPr>
          <w:p>
            <w:pPr>
              <w:jc w:val="both"/>
              <w:rPr>
                <w:rFonts w:ascii="宋体" w:hAnsi="宋体" w:eastAsia="宋体" w:cs="宋体"/>
                <w:kern w:val="0"/>
                <w:szCs w:val="21"/>
                <w:highlight w:val="none"/>
              </w:rPr>
            </w:pPr>
            <w:r>
              <w:rPr>
                <w:rFonts w:hint="eastAsia" w:ascii="宋体" w:hAnsi="宋体" w:eastAsia="宋体" w:cs="宋体"/>
                <w:kern w:val="0"/>
                <w:szCs w:val="21"/>
                <w:highlight w:val="none"/>
              </w:rPr>
              <w:t>1.</w:t>
            </w:r>
            <w:r>
              <w:rPr>
                <w:rFonts w:ascii="宋体" w:hAnsi="宋体" w:eastAsia="宋体" w:cs="宋体"/>
                <w:kern w:val="0"/>
                <w:szCs w:val="21"/>
                <w:highlight w:val="none"/>
              </w:rPr>
              <w:t>有家庭适老化改造相关文件，得2分；</w:t>
            </w:r>
            <w:r>
              <w:rPr>
                <w:rFonts w:hint="eastAsia" w:ascii="宋体" w:hAnsi="宋体" w:cs="宋体"/>
                <w:kern w:val="0"/>
                <w:szCs w:val="21"/>
                <w:highlight w:val="none"/>
                <w:lang w:val="en-US" w:eastAsia="zh-CN"/>
              </w:rPr>
              <w:t>无文件</w:t>
            </w:r>
            <w:r>
              <w:rPr>
                <w:rFonts w:hint="eastAsia" w:ascii="宋体" w:hAnsi="宋体" w:cs="宋体"/>
                <w:kern w:val="0"/>
                <w:szCs w:val="21"/>
                <w:highlight w:val="none"/>
                <w:lang w:eastAsia="zh-CN"/>
              </w:rPr>
              <w:t>，</w:t>
            </w:r>
            <w:r>
              <w:rPr>
                <w:rFonts w:ascii="宋体" w:hAnsi="宋体" w:eastAsia="宋体" w:cs="宋体"/>
                <w:kern w:val="0"/>
                <w:szCs w:val="21"/>
                <w:highlight w:val="none"/>
              </w:rPr>
              <w:t>不得分。</w:t>
            </w:r>
          </w:p>
          <w:p>
            <w:pPr>
              <w:jc w:val="both"/>
              <w:rPr>
                <w:rFonts w:ascii="宋体" w:hAnsi="宋体" w:eastAsia="宋体" w:cs="宋体"/>
                <w:kern w:val="0"/>
                <w:szCs w:val="21"/>
                <w:highlight w:val="none"/>
              </w:rPr>
            </w:pPr>
            <w:r>
              <w:rPr>
                <w:rFonts w:hint="eastAsia" w:ascii="宋体" w:hAnsi="宋体" w:eastAsia="宋体" w:cs="宋体"/>
                <w:kern w:val="0"/>
                <w:szCs w:val="21"/>
                <w:highlight w:val="none"/>
              </w:rPr>
              <w:t>2.</w:t>
            </w:r>
            <w:r>
              <w:rPr>
                <w:rFonts w:ascii="宋体" w:hAnsi="宋体" w:eastAsia="宋体" w:cs="宋体"/>
                <w:kern w:val="0"/>
                <w:szCs w:val="21"/>
                <w:highlight w:val="none"/>
              </w:rPr>
              <w:t>有需求的特殊困难老年人居家适老化改造覆盖率</w:t>
            </w:r>
            <w:r>
              <w:rPr>
                <w:rFonts w:hint="eastAsia" w:ascii="宋体" w:hAnsi="宋体" w:eastAsia="宋体" w:cs="宋体"/>
                <w:kern w:val="0"/>
                <w:szCs w:val="21"/>
                <w:highlight w:val="none"/>
              </w:rPr>
              <w:t>≥</w:t>
            </w:r>
            <w:r>
              <w:rPr>
                <w:rFonts w:ascii="宋体" w:hAnsi="宋体" w:eastAsia="宋体" w:cs="宋体"/>
                <w:kern w:val="0"/>
                <w:szCs w:val="21"/>
                <w:highlight w:val="none"/>
              </w:rPr>
              <w:t>80%，得6分</w:t>
            </w:r>
            <w:r>
              <w:rPr>
                <w:rFonts w:hint="eastAsia" w:ascii="宋体" w:hAnsi="宋体" w:eastAsia="宋体" w:cs="宋体"/>
                <w:kern w:val="0"/>
                <w:szCs w:val="21"/>
                <w:highlight w:val="none"/>
              </w:rPr>
              <w:t>；≥50%且＜</w:t>
            </w:r>
            <w:r>
              <w:rPr>
                <w:rFonts w:ascii="宋体" w:hAnsi="宋体" w:eastAsia="宋体" w:cs="宋体"/>
                <w:kern w:val="0"/>
                <w:szCs w:val="21"/>
                <w:highlight w:val="none"/>
              </w:rPr>
              <w:t>80%</w:t>
            </w:r>
            <w:r>
              <w:rPr>
                <w:rFonts w:hint="eastAsia" w:ascii="宋体" w:hAnsi="宋体" w:eastAsia="宋体" w:cs="宋体"/>
                <w:kern w:val="0"/>
                <w:szCs w:val="21"/>
                <w:highlight w:val="none"/>
              </w:rPr>
              <w:t>，</w:t>
            </w:r>
            <w:r>
              <w:rPr>
                <w:rFonts w:ascii="宋体" w:hAnsi="宋体" w:eastAsia="宋体" w:cs="宋体"/>
                <w:kern w:val="0"/>
                <w:szCs w:val="21"/>
                <w:highlight w:val="none"/>
              </w:rPr>
              <w:t>得3分</w:t>
            </w:r>
            <w:r>
              <w:rPr>
                <w:rFonts w:hint="eastAsia" w:ascii="宋体" w:hAnsi="宋体" w:eastAsia="宋体" w:cs="宋体"/>
                <w:kern w:val="0"/>
                <w:szCs w:val="21"/>
                <w:highlight w:val="none"/>
              </w:rPr>
              <w:t>；＜</w:t>
            </w:r>
            <w:r>
              <w:rPr>
                <w:rFonts w:ascii="宋体" w:hAnsi="宋体" w:eastAsia="宋体" w:cs="宋体"/>
                <w:kern w:val="0"/>
                <w:szCs w:val="21"/>
                <w:highlight w:val="none"/>
              </w:rPr>
              <w:t>50%，得</w:t>
            </w:r>
            <w:r>
              <w:rPr>
                <w:rFonts w:hint="eastAsia" w:ascii="宋体" w:hAnsi="宋体" w:cs="宋体"/>
                <w:kern w:val="0"/>
                <w:szCs w:val="21"/>
                <w:highlight w:val="none"/>
                <w:lang w:val="en-US" w:eastAsia="zh-CN"/>
              </w:rPr>
              <w:t>2</w:t>
            </w:r>
            <w:r>
              <w:rPr>
                <w:rFonts w:ascii="宋体" w:hAnsi="宋体" w:eastAsia="宋体" w:cs="宋体"/>
                <w:kern w:val="0"/>
                <w:szCs w:val="21"/>
                <w:highlight w:val="none"/>
              </w:rPr>
              <w:t>分</w:t>
            </w:r>
            <w:r>
              <w:rPr>
                <w:rFonts w:hint="eastAsia" w:ascii="宋体" w:hAnsi="宋体" w:eastAsia="宋体" w:cs="宋体"/>
                <w:kern w:val="0"/>
                <w:szCs w:val="21"/>
                <w:highlight w:val="none"/>
              </w:rPr>
              <w:t>；未实施改造</w:t>
            </w:r>
            <w:r>
              <w:rPr>
                <w:rFonts w:hint="eastAsia" w:ascii="宋体" w:hAnsi="宋体" w:cs="宋体"/>
                <w:kern w:val="0"/>
                <w:szCs w:val="21"/>
                <w:highlight w:val="none"/>
                <w:lang w:eastAsia="zh-CN"/>
              </w:rPr>
              <w:t>，</w:t>
            </w:r>
            <w:r>
              <w:rPr>
                <w:rFonts w:hint="eastAsia" w:ascii="宋体" w:hAnsi="宋体" w:eastAsia="宋体" w:cs="宋体"/>
                <w:kern w:val="0"/>
                <w:szCs w:val="21"/>
                <w:highlight w:val="none"/>
              </w:rPr>
              <w:t>不得分。</w:t>
            </w:r>
          </w:p>
          <w:p>
            <w:pPr>
              <w:jc w:val="both"/>
              <w:rPr>
                <w:rFonts w:ascii="宋体" w:hAnsi="宋体" w:eastAsia="宋体" w:cs="宋体"/>
                <w:color w:val="000000"/>
                <w:kern w:val="0"/>
                <w:szCs w:val="21"/>
                <w:highlight w:val="none"/>
              </w:rPr>
            </w:pPr>
            <w:r>
              <w:rPr>
                <w:rFonts w:hint="eastAsia" w:ascii="宋体" w:hAnsi="宋体" w:eastAsia="宋体" w:cs="宋体"/>
                <w:kern w:val="0"/>
                <w:szCs w:val="21"/>
                <w:highlight w:val="none"/>
              </w:rPr>
              <w:t>该指标满分为</w:t>
            </w:r>
            <w:r>
              <w:rPr>
                <w:rFonts w:ascii="宋体" w:hAnsi="宋体" w:eastAsia="宋体" w:cs="宋体"/>
                <w:kern w:val="0"/>
                <w:szCs w:val="21"/>
                <w:highlight w:val="none"/>
              </w:rPr>
              <w:t>8</w:t>
            </w:r>
            <w:r>
              <w:rPr>
                <w:rFonts w:hint="eastAsia" w:ascii="宋体" w:hAnsi="宋体" w:eastAsia="宋体" w:cs="宋体"/>
                <w:kern w:val="0"/>
                <w:szCs w:val="21"/>
                <w:highlight w:val="none"/>
              </w:rPr>
              <w:t>分。</w:t>
            </w:r>
          </w:p>
        </w:tc>
        <w:tc>
          <w:tcPr>
            <w:tcW w:w="696" w:type="dxa"/>
            <w:noWrap w:val="0"/>
            <w:vAlign w:val="top"/>
          </w:tcPr>
          <w:p>
            <w:pPr>
              <w:jc w:val="both"/>
              <w:rPr>
                <w:rFonts w:ascii="宋体" w:hAnsi="宋体" w:eastAsia="宋体" w:cs="宋体"/>
                <w:color w:val="000000"/>
                <w:kern w:val="0"/>
                <w:szCs w:val="21"/>
                <w:highlight w:val="none"/>
              </w:rPr>
            </w:pPr>
            <w:r>
              <w:rPr>
                <w:rFonts w:ascii="宋体" w:hAnsi="宋体" w:eastAsia="宋体" w:cs="宋体"/>
                <w:kern w:val="0"/>
                <w:szCs w:val="21"/>
                <w:highlight w:val="none"/>
              </w:rPr>
              <w:t>8分</w:t>
            </w:r>
          </w:p>
        </w:tc>
        <w:tc>
          <w:tcPr>
            <w:tcW w:w="900" w:type="dxa"/>
            <w:vMerge w:val="continue"/>
            <w:noWrap w:val="0"/>
            <w:vAlign w:val="top"/>
          </w:tcPr>
          <w:p>
            <w:pPr>
              <w:jc w:val="both"/>
              <w:rPr>
                <w:rFonts w:ascii="宋体" w:hAnsi="宋体" w:eastAsia="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restart"/>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第十九条</w:t>
            </w:r>
          </w:p>
        </w:tc>
        <w:tc>
          <w:tcPr>
            <w:tcW w:w="968" w:type="dxa"/>
            <w:noWrap w:val="0"/>
            <w:vAlign w:val="top"/>
          </w:tcPr>
          <w:p>
            <w:pPr>
              <w:jc w:val="both"/>
              <w:rPr>
                <w:rFonts w:ascii="宋体" w:hAnsi="宋体" w:eastAsia="宋体" w:cs="仿宋"/>
                <w:szCs w:val="21"/>
                <w:highlight w:val="none"/>
              </w:rPr>
            </w:pPr>
            <w:r>
              <w:rPr>
                <w:rFonts w:ascii="宋体" w:hAnsi="宋体" w:eastAsia="宋体" w:cs="仿宋"/>
                <w:szCs w:val="21"/>
                <w:highlight w:val="none"/>
              </w:rPr>
              <w:t>4</w:t>
            </w:r>
            <w:r>
              <w:rPr>
                <w:rFonts w:hint="eastAsia" w:ascii="宋体" w:hAnsi="宋体" w:eastAsia="宋体" w:cs="仿宋"/>
                <w:szCs w:val="21"/>
                <w:highlight w:val="none"/>
                <w:lang w:val="en-US" w:eastAsia="zh-CN"/>
              </w:rPr>
              <w:t>6</w:t>
            </w:r>
            <w:r>
              <w:rPr>
                <w:rFonts w:hint="eastAsia" w:ascii="宋体" w:hAnsi="宋体" w:eastAsia="宋体" w:cs="仿宋"/>
                <w:szCs w:val="21"/>
                <w:highlight w:val="none"/>
              </w:rPr>
              <w:t>.特殊儿童医疗康复和教育资助</w:t>
            </w:r>
          </w:p>
        </w:tc>
        <w:tc>
          <w:tcPr>
            <w:tcW w:w="249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建立针对孤儿、事实无人抚养儿童、困境儿童等特殊儿童群体的康复和教育资助制度，出台相关文件，明确</w:t>
            </w:r>
            <w:r>
              <w:rPr>
                <w:rFonts w:hint="eastAsia" w:ascii="宋体" w:hAnsi="宋体" w:eastAsia="宋体" w:cs="仿宋"/>
                <w:szCs w:val="21"/>
                <w:highlight w:val="none"/>
                <w:lang w:val="en-US" w:eastAsia="zh-CN"/>
              </w:rPr>
              <w:t>相关</w:t>
            </w:r>
            <w:r>
              <w:rPr>
                <w:rFonts w:hint="eastAsia" w:ascii="宋体" w:hAnsi="宋体" w:eastAsia="宋体" w:cs="仿宋"/>
                <w:szCs w:val="21"/>
                <w:highlight w:val="none"/>
              </w:rPr>
              <w:t>部门职责，规范认定和申领流程。</w:t>
            </w:r>
          </w:p>
        </w:tc>
        <w:tc>
          <w:tcPr>
            <w:tcW w:w="3095"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查阅资料：特殊儿童康复和教育资助制度建设相关</w:t>
            </w:r>
            <w:r>
              <w:rPr>
                <w:rFonts w:hint="eastAsia" w:ascii="宋体" w:hAnsi="宋体" w:eastAsia="宋体" w:cs="仿宋"/>
                <w:szCs w:val="21"/>
                <w:highlight w:val="none"/>
                <w:lang w:val="en-US" w:eastAsia="zh-CN"/>
              </w:rPr>
              <w:t>资料</w:t>
            </w:r>
            <w:r>
              <w:rPr>
                <w:rFonts w:hint="eastAsia" w:ascii="宋体" w:hAnsi="宋体" w:eastAsia="宋体" w:cs="仿宋"/>
                <w:szCs w:val="21"/>
                <w:highlight w:val="none"/>
              </w:rPr>
              <w:t>。</w:t>
            </w:r>
          </w:p>
          <w:p>
            <w:pPr>
              <w:jc w:val="both"/>
              <w:rPr>
                <w:rFonts w:ascii="宋体" w:hAnsi="宋体" w:eastAsia="宋体" w:cs="仿宋"/>
                <w:szCs w:val="21"/>
                <w:highlight w:val="none"/>
              </w:rPr>
            </w:pPr>
            <w:r>
              <w:rPr>
                <w:rFonts w:hint="eastAsia" w:ascii="宋体" w:hAnsi="宋体" w:eastAsia="宋体" w:cs="仿宋"/>
                <w:szCs w:val="21"/>
                <w:highlight w:val="none"/>
              </w:rPr>
              <w:t>资料来源：民政、卫生</w:t>
            </w:r>
            <w:r>
              <w:rPr>
                <w:rFonts w:hint="eastAsia" w:ascii="宋体" w:hAnsi="宋体" w:cs="仿宋"/>
                <w:szCs w:val="21"/>
                <w:highlight w:val="none"/>
                <w:lang w:val="en-US" w:eastAsia="zh-CN"/>
              </w:rPr>
              <w:t>健康</w:t>
            </w:r>
            <w:r>
              <w:rPr>
                <w:rFonts w:hint="eastAsia" w:ascii="宋体" w:hAnsi="宋体" w:eastAsia="宋体" w:cs="仿宋"/>
                <w:szCs w:val="21"/>
                <w:highlight w:val="none"/>
              </w:rPr>
              <w:t>、教育</w:t>
            </w:r>
            <w:r>
              <w:rPr>
                <w:rFonts w:hint="eastAsia" w:ascii="宋体" w:hAnsi="宋体" w:eastAsia="宋体" w:cs="仿宋"/>
                <w:szCs w:val="21"/>
                <w:highlight w:val="none"/>
                <w:lang w:eastAsia="zh-CN"/>
              </w:rPr>
              <w:t>、</w:t>
            </w:r>
            <w:r>
              <w:rPr>
                <w:rFonts w:hint="eastAsia" w:ascii="宋体" w:hAnsi="宋体" w:eastAsia="宋体" w:cs="仿宋"/>
                <w:szCs w:val="21"/>
                <w:highlight w:val="none"/>
                <w:lang w:val="en-US" w:eastAsia="zh-CN"/>
              </w:rPr>
              <w:t>残联</w:t>
            </w:r>
            <w:r>
              <w:rPr>
                <w:rFonts w:hint="eastAsia" w:ascii="宋体" w:hAnsi="宋体" w:eastAsia="宋体" w:cs="仿宋"/>
                <w:szCs w:val="21"/>
                <w:highlight w:val="none"/>
              </w:rPr>
              <w:t>等相关部门。</w:t>
            </w:r>
          </w:p>
        </w:tc>
        <w:tc>
          <w:tcPr>
            <w:tcW w:w="583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1</w:t>
            </w:r>
            <w:r>
              <w:rPr>
                <w:rFonts w:ascii="宋体" w:hAnsi="宋体" w:eastAsia="宋体" w:cs="仿宋"/>
                <w:szCs w:val="21"/>
                <w:highlight w:val="none"/>
              </w:rPr>
              <w:t>.</w:t>
            </w:r>
            <w:r>
              <w:rPr>
                <w:rFonts w:hint="eastAsia" w:ascii="宋体" w:hAnsi="宋体" w:eastAsia="宋体" w:cs="仿宋"/>
                <w:szCs w:val="21"/>
                <w:highlight w:val="none"/>
              </w:rPr>
              <w:t>印发专门文件，得</w:t>
            </w:r>
            <w:r>
              <w:rPr>
                <w:rFonts w:ascii="宋体" w:hAnsi="宋体" w:eastAsia="宋体" w:cs="仿宋"/>
                <w:szCs w:val="21"/>
                <w:highlight w:val="none"/>
              </w:rPr>
              <w:t>2</w:t>
            </w:r>
            <w:r>
              <w:rPr>
                <w:rFonts w:hint="eastAsia" w:ascii="宋体" w:hAnsi="宋体" w:eastAsia="宋体" w:cs="仿宋"/>
                <w:szCs w:val="21"/>
                <w:highlight w:val="none"/>
              </w:rPr>
              <w:t>分；未印发</w:t>
            </w:r>
            <w:r>
              <w:rPr>
                <w:rFonts w:hint="eastAsia" w:ascii="宋体" w:hAnsi="宋体" w:cs="仿宋"/>
                <w:szCs w:val="21"/>
                <w:highlight w:val="none"/>
                <w:lang w:eastAsia="zh-CN"/>
              </w:rPr>
              <w:t>，</w:t>
            </w:r>
            <w:r>
              <w:rPr>
                <w:rFonts w:hint="eastAsia" w:ascii="宋体" w:hAnsi="宋体" w:eastAsia="宋体" w:cs="仿宋"/>
                <w:szCs w:val="21"/>
                <w:highlight w:val="none"/>
              </w:rPr>
              <w:t>不得分。</w:t>
            </w:r>
          </w:p>
          <w:p>
            <w:pPr>
              <w:jc w:val="both"/>
              <w:rPr>
                <w:rFonts w:ascii="宋体" w:hAnsi="宋体" w:eastAsia="宋体" w:cs="仿宋"/>
                <w:szCs w:val="21"/>
                <w:highlight w:val="none"/>
              </w:rPr>
            </w:pPr>
            <w:r>
              <w:rPr>
                <w:rFonts w:hint="eastAsia" w:ascii="宋体" w:hAnsi="宋体" w:eastAsia="宋体" w:cs="仿宋"/>
                <w:szCs w:val="21"/>
                <w:highlight w:val="none"/>
              </w:rPr>
              <w:t>2</w:t>
            </w:r>
            <w:r>
              <w:rPr>
                <w:rFonts w:ascii="宋体" w:hAnsi="宋体" w:eastAsia="宋体" w:cs="仿宋"/>
                <w:szCs w:val="21"/>
                <w:highlight w:val="none"/>
              </w:rPr>
              <w:t>.</w:t>
            </w:r>
            <w:r>
              <w:rPr>
                <w:rFonts w:hint="eastAsia" w:ascii="宋体" w:hAnsi="宋体" w:eastAsia="宋体" w:cs="仿宋"/>
                <w:szCs w:val="21"/>
                <w:highlight w:val="none"/>
              </w:rPr>
              <w:t>明确相关部门职责，得2分；未明确</w:t>
            </w:r>
            <w:r>
              <w:rPr>
                <w:rFonts w:hint="eastAsia" w:ascii="宋体" w:hAnsi="宋体" w:cs="仿宋"/>
                <w:szCs w:val="21"/>
                <w:highlight w:val="none"/>
                <w:lang w:eastAsia="zh-CN"/>
              </w:rPr>
              <w:t>，</w:t>
            </w:r>
            <w:r>
              <w:rPr>
                <w:rFonts w:hint="eastAsia" w:ascii="宋体" w:hAnsi="宋体" w:eastAsia="宋体" w:cs="仿宋"/>
                <w:szCs w:val="21"/>
                <w:highlight w:val="none"/>
              </w:rPr>
              <w:t>不得分。</w:t>
            </w:r>
          </w:p>
          <w:p>
            <w:pPr>
              <w:jc w:val="both"/>
              <w:rPr>
                <w:rFonts w:ascii="宋体" w:hAnsi="宋体" w:eastAsia="宋体" w:cs="仿宋"/>
                <w:szCs w:val="21"/>
                <w:highlight w:val="none"/>
              </w:rPr>
            </w:pPr>
            <w:r>
              <w:rPr>
                <w:rFonts w:hint="eastAsia" w:ascii="宋体" w:hAnsi="宋体" w:eastAsia="宋体" w:cs="仿宋"/>
                <w:szCs w:val="21"/>
                <w:highlight w:val="none"/>
              </w:rPr>
              <w:t>3</w:t>
            </w:r>
            <w:r>
              <w:rPr>
                <w:rFonts w:ascii="宋体" w:hAnsi="宋体" w:eastAsia="宋体" w:cs="仿宋"/>
                <w:szCs w:val="21"/>
                <w:highlight w:val="none"/>
              </w:rPr>
              <w:t>.</w:t>
            </w:r>
            <w:r>
              <w:rPr>
                <w:rFonts w:hint="eastAsia" w:ascii="宋体" w:hAnsi="宋体" w:eastAsia="宋体" w:cs="仿宋"/>
                <w:szCs w:val="21"/>
                <w:highlight w:val="none"/>
              </w:rPr>
              <w:t>具有规范的认定和申领流程，得2分；无流程</w:t>
            </w:r>
            <w:r>
              <w:rPr>
                <w:rFonts w:hint="eastAsia" w:ascii="宋体" w:hAnsi="宋体" w:cs="仿宋"/>
                <w:szCs w:val="21"/>
                <w:highlight w:val="none"/>
                <w:lang w:eastAsia="zh-CN"/>
              </w:rPr>
              <w:t>，</w:t>
            </w:r>
            <w:r>
              <w:rPr>
                <w:rFonts w:hint="eastAsia" w:ascii="宋体" w:hAnsi="宋体" w:eastAsia="宋体" w:cs="仿宋"/>
                <w:szCs w:val="21"/>
                <w:highlight w:val="none"/>
              </w:rPr>
              <w:t>不得分。</w:t>
            </w:r>
          </w:p>
          <w:p>
            <w:pPr>
              <w:jc w:val="both"/>
              <w:rPr>
                <w:rFonts w:ascii="宋体" w:hAnsi="宋体" w:eastAsia="宋体" w:cs="仿宋"/>
                <w:szCs w:val="21"/>
                <w:highlight w:val="none"/>
              </w:rPr>
            </w:pPr>
            <w:r>
              <w:rPr>
                <w:rFonts w:hint="eastAsia" w:ascii="宋体" w:hAnsi="宋体" w:eastAsia="宋体" w:cs="仿宋"/>
                <w:szCs w:val="21"/>
                <w:highlight w:val="none"/>
              </w:rPr>
              <w:t>该指标满分为6分。</w:t>
            </w:r>
          </w:p>
        </w:tc>
        <w:tc>
          <w:tcPr>
            <w:tcW w:w="69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6分</w:t>
            </w:r>
          </w:p>
        </w:tc>
        <w:tc>
          <w:tcPr>
            <w:tcW w:w="900" w:type="dxa"/>
            <w:vMerge w:val="restart"/>
            <w:noWrap w:val="0"/>
            <w:vAlign w:val="top"/>
          </w:tcPr>
          <w:p>
            <w:pPr>
              <w:jc w:val="both"/>
              <w:rPr>
                <w:rFonts w:ascii="宋体" w:hAnsi="宋体" w:eastAsia="宋体" w:cs="仿宋"/>
                <w:szCs w:val="21"/>
                <w:highlight w:val="none"/>
              </w:rPr>
            </w:pPr>
            <w:r>
              <w:rPr>
                <w:rFonts w:hint="eastAsia" w:ascii="宋体" w:hAnsi="宋体" w:cs="宋体"/>
                <w:color w:val="000000"/>
                <w:kern w:val="0"/>
                <w:szCs w:val="21"/>
                <w:highlight w:val="none"/>
                <w:lang w:val="en-US" w:eastAsia="zh-CN"/>
              </w:rPr>
              <w:t>见附录2：78、79、80、81。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jc w:val="both"/>
              <w:rPr>
                <w:rFonts w:ascii="宋体" w:hAnsi="宋体" w:eastAsia="宋体" w:cs="仿宋"/>
                <w:szCs w:val="21"/>
                <w:highlight w:val="none"/>
              </w:rPr>
            </w:pPr>
          </w:p>
        </w:tc>
        <w:tc>
          <w:tcPr>
            <w:tcW w:w="968" w:type="dxa"/>
            <w:noWrap w:val="0"/>
            <w:vAlign w:val="top"/>
          </w:tcPr>
          <w:p>
            <w:pPr>
              <w:jc w:val="both"/>
              <w:rPr>
                <w:rFonts w:ascii="宋体" w:hAnsi="宋体" w:eastAsia="宋体" w:cs="仿宋"/>
                <w:szCs w:val="21"/>
                <w:highlight w:val="none"/>
              </w:rPr>
            </w:pPr>
            <w:r>
              <w:rPr>
                <w:rFonts w:ascii="宋体" w:hAnsi="宋体" w:eastAsia="宋体" w:cs="仿宋"/>
                <w:szCs w:val="21"/>
                <w:highlight w:val="none"/>
              </w:rPr>
              <w:t>4</w:t>
            </w:r>
            <w:r>
              <w:rPr>
                <w:rFonts w:hint="eastAsia" w:ascii="宋体" w:hAnsi="宋体" w:eastAsia="宋体" w:cs="仿宋"/>
                <w:szCs w:val="21"/>
                <w:highlight w:val="none"/>
                <w:lang w:val="en-US" w:eastAsia="zh-CN"/>
              </w:rPr>
              <w:t>7</w:t>
            </w:r>
            <w:r>
              <w:rPr>
                <w:rFonts w:hint="eastAsia" w:ascii="宋体" w:hAnsi="宋体" w:eastAsia="宋体" w:cs="仿宋"/>
                <w:szCs w:val="21"/>
                <w:highlight w:val="none"/>
              </w:rPr>
              <w:t>.托位数年增长率</w:t>
            </w:r>
          </w:p>
        </w:tc>
        <w:tc>
          <w:tcPr>
            <w:tcW w:w="249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通过新建、改扩建、支持一批嵌入式、分布式、连锁化、专业化的社区托育服务设施建设，提供多样化的普惠托育服务，提高社区托育服务设施覆盖率。完善婴幼儿照护服务设施，辖区内托位数逐年增长。</w:t>
            </w:r>
          </w:p>
        </w:tc>
        <w:tc>
          <w:tcPr>
            <w:tcW w:w="3095"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查阅资料：近2年婴幼儿托位数统计数据。</w:t>
            </w:r>
          </w:p>
          <w:p>
            <w:pPr>
              <w:jc w:val="both"/>
              <w:rPr>
                <w:rFonts w:ascii="宋体" w:hAnsi="宋体" w:eastAsia="宋体" w:cs="仿宋"/>
                <w:szCs w:val="21"/>
                <w:highlight w:val="none"/>
              </w:rPr>
            </w:pPr>
            <w:r>
              <w:rPr>
                <w:rFonts w:hint="eastAsia" w:ascii="宋体" w:hAnsi="宋体" w:eastAsia="宋体" w:cs="仿宋"/>
                <w:szCs w:val="21"/>
                <w:highlight w:val="none"/>
              </w:rPr>
              <w:t>资料来源：民政、卫生</w:t>
            </w:r>
            <w:r>
              <w:rPr>
                <w:rFonts w:hint="eastAsia" w:ascii="宋体" w:hAnsi="宋体" w:cs="仿宋"/>
                <w:szCs w:val="21"/>
                <w:highlight w:val="none"/>
                <w:lang w:val="en-US" w:eastAsia="zh-CN"/>
              </w:rPr>
              <w:t>健康</w:t>
            </w:r>
            <w:r>
              <w:rPr>
                <w:rFonts w:hint="eastAsia" w:ascii="宋体" w:hAnsi="宋体" w:eastAsia="宋体" w:cs="仿宋"/>
                <w:szCs w:val="21"/>
                <w:highlight w:val="none"/>
              </w:rPr>
              <w:t>、教育等相关部门。</w:t>
            </w:r>
          </w:p>
          <w:p>
            <w:pPr>
              <w:jc w:val="both"/>
              <w:rPr>
                <w:rFonts w:ascii="宋体" w:hAnsi="宋体" w:eastAsia="宋体" w:cs="仿宋"/>
                <w:szCs w:val="21"/>
                <w:highlight w:val="none"/>
              </w:rPr>
            </w:pPr>
            <w:r>
              <w:rPr>
                <w:rFonts w:hint="eastAsia" w:ascii="宋体" w:hAnsi="宋体" w:eastAsia="宋体" w:cs="仿宋"/>
                <w:szCs w:val="21"/>
                <w:highlight w:val="none"/>
              </w:rPr>
              <w:t>现场抽查：随机抽查1个城区居民小区，现场查看托育服务设施的建设情况。</w:t>
            </w:r>
          </w:p>
        </w:tc>
        <w:tc>
          <w:tcPr>
            <w:tcW w:w="5836" w:type="dxa"/>
            <w:noWrap w:val="0"/>
            <w:vAlign w:val="top"/>
          </w:tcPr>
          <w:p>
            <w:pPr>
              <w:numPr>
                <w:ilvl w:val="0"/>
                <w:numId w:val="0"/>
              </w:numPr>
              <w:jc w:val="both"/>
              <w:rPr>
                <w:rFonts w:ascii="宋体" w:hAnsi="宋体" w:eastAsia="宋体" w:cs="仿宋"/>
                <w:szCs w:val="21"/>
                <w:highlight w:val="none"/>
              </w:rPr>
            </w:pPr>
            <w:r>
              <w:rPr>
                <w:rFonts w:hint="eastAsia" w:ascii="宋体" w:hAnsi="宋体" w:eastAsia="宋体" w:cs="仿宋"/>
                <w:szCs w:val="21"/>
                <w:highlight w:val="none"/>
              </w:rPr>
              <w:t>1.被抽查的城区居民小区中，有建设托育服务设施，得5分；</w:t>
            </w:r>
            <w:r>
              <w:rPr>
                <w:rFonts w:hint="eastAsia" w:ascii="宋体" w:hAnsi="宋体" w:cs="仿宋"/>
                <w:szCs w:val="21"/>
                <w:highlight w:val="none"/>
                <w:lang w:val="en-US" w:eastAsia="zh-CN"/>
              </w:rPr>
              <w:t>未建设</w:t>
            </w:r>
            <w:r>
              <w:rPr>
                <w:rFonts w:hint="eastAsia" w:ascii="宋体" w:hAnsi="宋体" w:cs="仿宋"/>
                <w:szCs w:val="21"/>
                <w:highlight w:val="none"/>
                <w:lang w:eastAsia="zh-CN"/>
              </w:rPr>
              <w:t>，</w:t>
            </w:r>
            <w:r>
              <w:rPr>
                <w:rFonts w:hint="eastAsia" w:ascii="宋体" w:hAnsi="宋体" w:eastAsia="宋体" w:cs="仿宋"/>
                <w:szCs w:val="21"/>
                <w:highlight w:val="none"/>
              </w:rPr>
              <w:t>不得分。</w:t>
            </w:r>
          </w:p>
          <w:p>
            <w:pPr>
              <w:numPr>
                <w:ilvl w:val="0"/>
                <w:numId w:val="0"/>
              </w:numPr>
              <w:jc w:val="both"/>
              <w:rPr>
                <w:rFonts w:ascii="宋体" w:hAnsi="宋体" w:eastAsia="宋体" w:cs="仿宋"/>
                <w:szCs w:val="21"/>
                <w:highlight w:val="none"/>
              </w:rPr>
            </w:pPr>
            <w:r>
              <w:rPr>
                <w:rFonts w:hint="eastAsia" w:ascii="宋体" w:hAnsi="宋体" w:eastAsia="宋体" w:cs="仿宋"/>
                <w:szCs w:val="21"/>
                <w:highlight w:val="none"/>
              </w:rPr>
              <w:t>2.托位数增长率≥20%</w:t>
            </w:r>
            <w:r>
              <w:rPr>
                <w:rFonts w:hint="eastAsia" w:ascii="宋体" w:hAnsi="宋体" w:cs="仿宋"/>
                <w:szCs w:val="21"/>
                <w:highlight w:val="none"/>
                <w:lang w:eastAsia="zh-CN"/>
              </w:rPr>
              <w:t>，</w:t>
            </w:r>
            <w:r>
              <w:rPr>
                <w:rFonts w:hint="eastAsia" w:ascii="宋体" w:hAnsi="宋体" w:eastAsia="宋体" w:cs="仿宋"/>
                <w:szCs w:val="21"/>
                <w:highlight w:val="none"/>
              </w:rPr>
              <w:t>得5分；≥10%且＜20%</w:t>
            </w:r>
            <w:r>
              <w:rPr>
                <w:rFonts w:hint="eastAsia" w:ascii="宋体" w:hAnsi="宋体" w:cs="仿宋"/>
                <w:szCs w:val="21"/>
                <w:highlight w:val="none"/>
                <w:lang w:eastAsia="zh-CN"/>
              </w:rPr>
              <w:t>，</w:t>
            </w:r>
            <w:r>
              <w:rPr>
                <w:rFonts w:hint="eastAsia" w:ascii="宋体" w:hAnsi="宋体" w:eastAsia="宋体" w:cs="仿宋"/>
                <w:szCs w:val="21"/>
                <w:highlight w:val="none"/>
              </w:rPr>
              <w:t>得3分；＞0且＜10%</w:t>
            </w:r>
            <w:r>
              <w:rPr>
                <w:rFonts w:hint="eastAsia" w:ascii="宋体" w:hAnsi="宋体" w:cs="仿宋"/>
                <w:szCs w:val="21"/>
                <w:highlight w:val="none"/>
                <w:lang w:eastAsia="zh-CN"/>
              </w:rPr>
              <w:t>，</w:t>
            </w:r>
            <w:r>
              <w:rPr>
                <w:rFonts w:hint="eastAsia" w:ascii="宋体" w:hAnsi="宋体" w:eastAsia="宋体" w:cs="仿宋"/>
                <w:szCs w:val="21"/>
                <w:highlight w:val="none"/>
              </w:rPr>
              <w:t>得1分；无增长或负增长</w:t>
            </w:r>
            <w:r>
              <w:rPr>
                <w:rFonts w:hint="eastAsia" w:ascii="宋体" w:hAnsi="宋体" w:cs="仿宋"/>
                <w:szCs w:val="21"/>
                <w:highlight w:val="none"/>
                <w:lang w:eastAsia="zh-CN"/>
              </w:rPr>
              <w:t>，</w:t>
            </w:r>
            <w:r>
              <w:rPr>
                <w:rFonts w:hint="eastAsia" w:ascii="宋体" w:hAnsi="宋体" w:eastAsia="宋体" w:cs="仿宋"/>
                <w:szCs w:val="21"/>
                <w:highlight w:val="none"/>
              </w:rPr>
              <w:t>不得分。</w:t>
            </w:r>
          </w:p>
          <w:p>
            <w:pPr>
              <w:numPr>
                <w:ilvl w:val="0"/>
                <w:numId w:val="0"/>
              </w:numPr>
              <w:jc w:val="both"/>
              <w:rPr>
                <w:rFonts w:ascii="宋体" w:hAnsi="宋体" w:eastAsia="宋体" w:cs="仿宋"/>
                <w:szCs w:val="21"/>
                <w:highlight w:val="none"/>
              </w:rPr>
            </w:pPr>
            <w:r>
              <w:rPr>
                <w:rFonts w:hint="eastAsia" w:ascii="宋体" w:hAnsi="宋体" w:eastAsia="宋体" w:cs="仿宋"/>
                <w:szCs w:val="21"/>
                <w:highlight w:val="none"/>
              </w:rPr>
              <w:t>该指标满分为10分。</w:t>
            </w:r>
          </w:p>
        </w:tc>
        <w:tc>
          <w:tcPr>
            <w:tcW w:w="696" w:type="dxa"/>
            <w:noWrap w:val="0"/>
            <w:vAlign w:val="top"/>
          </w:tcPr>
          <w:p>
            <w:pPr>
              <w:jc w:val="both"/>
              <w:rPr>
                <w:rFonts w:ascii="宋体" w:hAnsi="宋体" w:eastAsia="宋体" w:cs="仿宋"/>
                <w:szCs w:val="21"/>
                <w:highlight w:val="none"/>
              </w:rPr>
            </w:pPr>
            <w:r>
              <w:rPr>
                <w:rFonts w:ascii="宋体" w:hAnsi="宋体" w:eastAsia="宋体" w:cs="仿宋"/>
                <w:szCs w:val="21"/>
                <w:highlight w:val="none"/>
              </w:rPr>
              <w:t>10</w:t>
            </w:r>
            <w:r>
              <w:rPr>
                <w:rFonts w:hint="eastAsia" w:ascii="宋体" w:hAnsi="宋体" w:eastAsia="宋体" w:cs="仿宋"/>
                <w:szCs w:val="21"/>
                <w:highlight w:val="none"/>
              </w:rPr>
              <w:t>分</w:t>
            </w:r>
          </w:p>
        </w:tc>
        <w:tc>
          <w:tcPr>
            <w:tcW w:w="900" w:type="dxa"/>
            <w:vMerge w:val="continue"/>
            <w:noWrap w:val="0"/>
            <w:vAlign w:val="top"/>
          </w:tcPr>
          <w:p>
            <w:pPr>
              <w:jc w:val="both"/>
              <w:rPr>
                <w:rFonts w:ascii="宋体" w:hAnsi="宋体" w:eastAsia="宋体" w:cs="仿宋"/>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jc w:val="both"/>
              <w:rPr>
                <w:rFonts w:ascii="宋体" w:hAnsi="宋体" w:eastAsia="宋体" w:cs="仿宋"/>
                <w:szCs w:val="21"/>
                <w:highlight w:val="none"/>
              </w:rPr>
            </w:pPr>
          </w:p>
        </w:tc>
        <w:tc>
          <w:tcPr>
            <w:tcW w:w="968"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lang w:val="en-US" w:eastAsia="zh-CN"/>
              </w:rPr>
              <w:t>48</w:t>
            </w:r>
            <w:r>
              <w:rPr>
                <w:rFonts w:hint="eastAsia" w:ascii="宋体" w:hAnsi="宋体" w:eastAsia="宋体" w:cs="仿宋"/>
                <w:szCs w:val="21"/>
                <w:highlight w:val="none"/>
              </w:rPr>
              <w:t>.精神卫生工作</w:t>
            </w:r>
          </w:p>
        </w:tc>
        <w:tc>
          <w:tcPr>
            <w:tcW w:w="249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登记在册的严重精神障碍患者规范管理率达到80%，精神分裂症服药率达到80%。开展精神障碍社区康复服务，覆盖50%以上的居家精神障碍患者。</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查阅资料：精神卫生相关资料。</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资料来源：相关部门。</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1.至少有1所县级公立医院根据要求设置精神科/精神心理门诊，得1分；未设置</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2.登记在册的严重精神障碍患者规范管理率≥80%，得2分；＜80%</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3.精神分裂症服药率≥80%，得2分；＜80%</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4.组织开展精神障碍社区康复服务，得1分；未开展</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该指标满分为6分。</w:t>
            </w:r>
          </w:p>
        </w:tc>
        <w:tc>
          <w:tcPr>
            <w:tcW w:w="696" w:type="dxa"/>
            <w:noWrap w:val="0"/>
            <w:vAlign w:val="top"/>
          </w:tcPr>
          <w:p>
            <w:pPr>
              <w:jc w:val="both"/>
              <w:rPr>
                <w:rFonts w:hint="eastAsia" w:ascii="宋体" w:hAnsi="宋体" w:eastAsia="宋体" w:cs="仿宋"/>
                <w:szCs w:val="21"/>
                <w:highlight w:val="none"/>
                <w:lang w:eastAsia="zh-CN"/>
              </w:rPr>
            </w:pPr>
            <w:r>
              <w:rPr>
                <w:rFonts w:hint="eastAsia" w:ascii="宋体" w:hAnsi="宋体" w:eastAsia="宋体" w:cs="仿宋"/>
                <w:szCs w:val="21"/>
                <w:highlight w:val="none"/>
              </w:rPr>
              <w:t>6分</w:t>
            </w:r>
          </w:p>
        </w:tc>
        <w:tc>
          <w:tcPr>
            <w:tcW w:w="900" w:type="dxa"/>
            <w:vMerge w:val="restart"/>
            <w:noWrap w:val="0"/>
            <w:vAlign w:val="top"/>
          </w:tcPr>
          <w:p>
            <w:pPr>
              <w:jc w:val="both"/>
              <w:rPr>
                <w:rFonts w:ascii="宋体" w:hAnsi="宋体" w:eastAsia="宋体" w:cs="仿宋"/>
                <w:szCs w:val="21"/>
                <w:highlight w:val="none"/>
              </w:rPr>
            </w:pPr>
            <w:r>
              <w:rPr>
                <w:rFonts w:hint="eastAsia" w:ascii="宋体" w:hAnsi="宋体" w:cs="宋体"/>
                <w:color w:val="000000"/>
                <w:kern w:val="0"/>
                <w:szCs w:val="21"/>
                <w:highlight w:val="none"/>
                <w:lang w:val="en-US" w:eastAsia="zh-CN"/>
              </w:rPr>
              <w:t>见附录2：81、82、83、84、85、86。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jc w:val="both"/>
              <w:rPr>
                <w:rFonts w:ascii="宋体" w:hAnsi="宋体" w:eastAsia="宋体" w:cs="仿宋"/>
                <w:szCs w:val="21"/>
                <w:highlight w:val="none"/>
              </w:rPr>
            </w:pPr>
          </w:p>
        </w:tc>
        <w:tc>
          <w:tcPr>
            <w:tcW w:w="968"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lang w:val="en-US" w:eastAsia="zh-CN"/>
              </w:rPr>
              <w:t>49</w:t>
            </w:r>
            <w:r>
              <w:rPr>
                <w:rFonts w:hint="eastAsia" w:ascii="宋体" w:hAnsi="宋体" w:eastAsia="宋体" w:cs="仿宋"/>
                <w:szCs w:val="21"/>
                <w:highlight w:val="none"/>
              </w:rPr>
              <w:t>.精神障碍社区康复服务体系</w:t>
            </w:r>
          </w:p>
        </w:tc>
        <w:tc>
          <w:tcPr>
            <w:tcW w:w="249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建立精神卫生医疗机构、社区康复机构及社会组织、家庭相互衔接的精神障碍社区康复服务体系，建立和完善心理健康教育、心理热线服务、心理评估、心理咨询、心理治疗、精神科治疗等衔接合作的心理危机干预和心理援助服务模式。</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查阅资料：精神卫生相关资料。</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资料来源：相关部门。</w:t>
            </w:r>
          </w:p>
        </w:tc>
        <w:tc>
          <w:tcPr>
            <w:tcW w:w="5836" w:type="dxa"/>
            <w:noWrap w:val="0"/>
            <w:vAlign w:val="top"/>
          </w:tcPr>
          <w:p>
            <w:pPr>
              <w:widowControl w:val="0"/>
              <w:jc w:val="both"/>
              <w:rPr>
                <w:rFonts w:hint="eastAsia"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1.出台关于加强精神障碍社区康复服务体系建设相关文件，得</w:t>
            </w:r>
            <w:r>
              <w:rPr>
                <w:rFonts w:ascii="宋体" w:hAnsi="宋体" w:eastAsia="宋体" w:cs="仿宋"/>
                <w:kern w:val="2"/>
                <w:sz w:val="21"/>
                <w:szCs w:val="21"/>
                <w:highlight w:val="none"/>
                <w:lang w:val="en-US" w:eastAsia="zh-CN" w:bidi="ar-SA"/>
              </w:rPr>
              <w:t>3</w:t>
            </w:r>
            <w:r>
              <w:rPr>
                <w:rFonts w:hint="eastAsia" w:ascii="宋体" w:hAnsi="宋体" w:eastAsia="宋体" w:cs="仿宋"/>
                <w:kern w:val="2"/>
                <w:sz w:val="21"/>
                <w:szCs w:val="21"/>
                <w:highlight w:val="none"/>
                <w:lang w:val="en-US" w:eastAsia="zh-CN" w:bidi="ar-SA"/>
              </w:rPr>
              <w:t>分；未出台文件</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2.将心理危机干预和心理救援纳入各类突发事件应急预案和技术方案并定期开展培训和演练，得3分</w:t>
            </w:r>
            <w:r>
              <w:rPr>
                <w:rFonts w:hint="eastAsia" w:ascii="宋体" w:hAnsi="宋体" w:cs="仿宋"/>
                <w:kern w:val="2"/>
                <w:sz w:val="21"/>
                <w:szCs w:val="21"/>
                <w:highlight w:val="none"/>
                <w:lang w:val="en-US" w:eastAsia="zh-CN" w:bidi="ar-SA"/>
              </w:rPr>
              <w:t>；纳入</w:t>
            </w:r>
            <w:r>
              <w:rPr>
                <w:rFonts w:hint="eastAsia" w:ascii="宋体" w:hAnsi="宋体" w:eastAsia="宋体" w:cs="仿宋"/>
                <w:kern w:val="2"/>
                <w:sz w:val="21"/>
                <w:szCs w:val="21"/>
                <w:highlight w:val="none"/>
                <w:lang w:val="en-US" w:eastAsia="zh-CN" w:bidi="ar-SA"/>
              </w:rPr>
              <w:t>应急预案和技术方案</w:t>
            </w:r>
            <w:r>
              <w:rPr>
                <w:rFonts w:hint="eastAsia" w:ascii="宋体" w:hAnsi="宋体" w:cs="仿宋"/>
                <w:kern w:val="2"/>
                <w:sz w:val="21"/>
                <w:szCs w:val="21"/>
                <w:highlight w:val="none"/>
                <w:lang w:val="en-US" w:eastAsia="zh-CN" w:bidi="ar-SA"/>
              </w:rPr>
              <w:t>但未</w:t>
            </w:r>
            <w:r>
              <w:rPr>
                <w:rFonts w:hint="eastAsia" w:ascii="宋体" w:hAnsi="宋体" w:eastAsia="宋体" w:cs="仿宋"/>
                <w:kern w:val="2"/>
                <w:sz w:val="21"/>
                <w:szCs w:val="21"/>
                <w:highlight w:val="none"/>
                <w:lang w:val="en-US" w:eastAsia="zh-CN" w:bidi="ar-SA"/>
              </w:rPr>
              <w:t>开展培训和演练，</w:t>
            </w:r>
            <w:r>
              <w:rPr>
                <w:rFonts w:hint="eastAsia" w:ascii="宋体" w:hAnsi="宋体" w:cs="仿宋"/>
                <w:kern w:val="2"/>
                <w:sz w:val="21"/>
                <w:szCs w:val="21"/>
                <w:highlight w:val="none"/>
                <w:lang w:val="en-US" w:eastAsia="zh-CN" w:bidi="ar-SA"/>
              </w:rPr>
              <w:t>得2分；</w:t>
            </w:r>
            <w:r>
              <w:rPr>
                <w:rFonts w:hint="eastAsia" w:ascii="宋体" w:hAnsi="宋体" w:eastAsia="宋体" w:cs="仿宋"/>
                <w:kern w:val="2"/>
                <w:sz w:val="21"/>
                <w:szCs w:val="21"/>
                <w:highlight w:val="none"/>
                <w:lang w:val="en-US" w:eastAsia="zh-CN" w:bidi="ar-SA"/>
              </w:rPr>
              <w:t>未</w:t>
            </w:r>
            <w:r>
              <w:rPr>
                <w:rFonts w:hint="eastAsia" w:ascii="宋体" w:hAnsi="宋体" w:cs="仿宋"/>
                <w:kern w:val="2"/>
                <w:sz w:val="21"/>
                <w:szCs w:val="21"/>
                <w:highlight w:val="none"/>
                <w:lang w:val="en-US" w:eastAsia="zh-CN" w:bidi="ar-SA"/>
              </w:rPr>
              <w:t>纳入</w:t>
            </w:r>
            <w:r>
              <w:rPr>
                <w:rFonts w:hint="eastAsia" w:ascii="宋体" w:hAnsi="宋体" w:eastAsia="宋体" w:cs="仿宋"/>
                <w:kern w:val="2"/>
                <w:sz w:val="21"/>
                <w:szCs w:val="21"/>
                <w:highlight w:val="none"/>
                <w:lang w:val="en-US" w:eastAsia="zh-CN" w:bidi="ar-SA"/>
              </w:rPr>
              <w:t>应急预案和技术方案</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该指标满分为</w:t>
            </w:r>
            <w:r>
              <w:rPr>
                <w:rFonts w:ascii="宋体" w:hAnsi="宋体" w:eastAsia="宋体" w:cs="仿宋"/>
                <w:kern w:val="2"/>
                <w:sz w:val="21"/>
                <w:szCs w:val="21"/>
                <w:highlight w:val="none"/>
                <w:lang w:val="en-US" w:eastAsia="zh-CN" w:bidi="ar-SA"/>
              </w:rPr>
              <w:t>6</w:t>
            </w:r>
            <w:r>
              <w:rPr>
                <w:rFonts w:hint="eastAsia" w:ascii="宋体" w:hAnsi="宋体" w:eastAsia="宋体" w:cs="仿宋"/>
                <w:kern w:val="2"/>
                <w:sz w:val="21"/>
                <w:szCs w:val="21"/>
                <w:highlight w:val="none"/>
                <w:lang w:val="en-US" w:eastAsia="zh-CN" w:bidi="ar-SA"/>
              </w:rPr>
              <w:t>分。</w:t>
            </w:r>
          </w:p>
        </w:tc>
        <w:tc>
          <w:tcPr>
            <w:tcW w:w="696" w:type="dxa"/>
            <w:noWrap w:val="0"/>
            <w:vAlign w:val="top"/>
          </w:tcPr>
          <w:p>
            <w:pPr>
              <w:widowControl w:val="0"/>
              <w:jc w:val="both"/>
              <w:rPr>
                <w:rFonts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6</w:t>
            </w:r>
            <w:r>
              <w:rPr>
                <w:rFonts w:hint="eastAsia" w:ascii="宋体" w:hAnsi="宋体" w:eastAsia="宋体" w:cs="仿宋"/>
                <w:kern w:val="2"/>
                <w:sz w:val="21"/>
                <w:szCs w:val="21"/>
                <w:highlight w:val="none"/>
                <w:lang w:val="en-US" w:eastAsia="zh-CN" w:bidi="ar-SA"/>
              </w:rPr>
              <w:t>分</w:t>
            </w:r>
          </w:p>
        </w:tc>
        <w:tc>
          <w:tcPr>
            <w:tcW w:w="900" w:type="dxa"/>
            <w:vMerge w:val="continue"/>
            <w:noWrap w:val="0"/>
            <w:vAlign w:val="top"/>
          </w:tcPr>
          <w:p>
            <w:pPr>
              <w:widowControl w:val="0"/>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第二十条</w:t>
            </w: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5</w:t>
            </w:r>
            <w:r>
              <w:rPr>
                <w:rFonts w:hint="eastAsia" w:ascii="宋体" w:hAnsi="宋体" w:eastAsia="宋体" w:cs="宋体"/>
                <w:color w:val="000000"/>
                <w:kern w:val="0"/>
                <w:szCs w:val="21"/>
                <w:highlight w:val="none"/>
                <w:lang w:val="en-US" w:eastAsia="zh-CN"/>
              </w:rPr>
              <w:t>0</w:t>
            </w:r>
            <w:r>
              <w:rPr>
                <w:rFonts w:hint="eastAsia" w:ascii="宋体" w:hAnsi="宋体" w:eastAsia="宋体" w:cs="宋体"/>
                <w:color w:val="000000"/>
                <w:kern w:val="0"/>
                <w:szCs w:val="21"/>
                <w:highlight w:val="none"/>
              </w:rPr>
              <w:t>.交通和安全管理</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强化治安防控、交通和安全管理，落实安全生产责任制，杜绝重特大安全事件。</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查阅资料：交通事故相关数据，近3年内重特大安全事件发生情况。</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资料来源：交通运输部门或统计部门、应急管理部门等。</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1.每万人交通事故发生数＜全国平均水平（可从国家统计局网站查询年度全国交通事故相关数据），得</w:t>
            </w: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rPr>
              <w:t>分；</w:t>
            </w:r>
            <w:r>
              <w:rPr>
                <w:rFonts w:hint="eastAsia" w:ascii="宋体" w:hAnsi="宋体" w:eastAsia="宋体" w:cs="仿宋"/>
                <w:szCs w:val="21"/>
                <w:highlight w:val="none"/>
              </w:rPr>
              <w:t>≥</w:t>
            </w:r>
            <w:r>
              <w:rPr>
                <w:rFonts w:hint="eastAsia" w:ascii="宋体" w:hAnsi="宋体" w:eastAsia="宋体" w:cs="宋体"/>
                <w:color w:val="000000"/>
                <w:kern w:val="0"/>
                <w:szCs w:val="21"/>
                <w:highlight w:val="none"/>
              </w:rPr>
              <w:t>全国平均水平，不得分。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2.每万人交通事故死亡人数＜全国平均水平，得</w:t>
            </w: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rPr>
              <w:t>分；</w:t>
            </w:r>
            <w:r>
              <w:rPr>
                <w:rFonts w:hint="eastAsia" w:ascii="宋体" w:hAnsi="宋体" w:eastAsia="宋体" w:cs="仿宋"/>
                <w:szCs w:val="21"/>
                <w:highlight w:val="none"/>
              </w:rPr>
              <w:t>≥</w:t>
            </w:r>
            <w:r>
              <w:rPr>
                <w:rFonts w:hint="eastAsia" w:ascii="宋体" w:hAnsi="宋体" w:eastAsia="宋体" w:cs="宋体"/>
                <w:color w:val="000000"/>
                <w:kern w:val="0"/>
                <w:szCs w:val="21"/>
                <w:highlight w:val="none"/>
              </w:rPr>
              <w:t>全国平均水平，不得分。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rPr>
              <w:t>近3年内没有发生过重特大安全事件，得4分；发生过</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该指标满分为12分。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12分</w:t>
            </w:r>
          </w:p>
        </w:tc>
        <w:tc>
          <w:tcPr>
            <w:tcW w:w="900" w:type="dxa"/>
            <w:vMerge w:val="restart"/>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5</w:t>
            </w:r>
            <w:r>
              <w:rPr>
                <w:rFonts w:hint="eastAsia" w:ascii="宋体" w:hAnsi="宋体" w:eastAsia="宋体" w:cs="宋体"/>
                <w:color w:val="000000"/>
                <w:kern w:val="0"/>
                <w:szCs w:val="21"/>
                <w:highlight w:val="none"/>
                <w:lang w:val="en-US" w:eastAsia="zh-CN"/>
              </w:rPr>
              <w:t>1</w:t>
            </w:r>
            <w:r>
              <w:rPr>
                <w:rFonts w:hint="eastAsia" w:ascii="宋体" w:hAnsi="宋体" w:eastAsia="宋体" w:cs="宋体"/>
                <w:color w:val="000000"/>
                <w:kern w:val="0"/>
                <w:szCs w:val="21"/>
                <w:highlight w:val="none"/>
              </w:rPr>
              <w:t>.医疗秩序安全</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避免发生社会影响恶劣的伤医案件和严重扰乱正常医疗秩序的案件。</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查阅资料：近3年内发生社会影响恶劣的伤医案件和严重扰乱正常医疗秩序的案件情况。</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资料来源：卫生健康、公安等部门。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1.近3年内没有发生过社会影响恶劣的伤医案件,得</w:t>
            </w:r>
            <w:r>
              <w:rPr>
                <w:rFonts w:ascii="宋体" w:hAnsi="宋体" w:eastAsia="宋体" w:cs="宋体"/>
                <w:color w:val="000000"/>
                <w:kern w:val="0"/>
                <w:szCs w:val="21"/>
                <w:highlight w:val="none"/>
              </w:rPr>
              <w:t>3</w:t>
            </w:r>
            <w:r>
              <w:rPr>
                <w:rFonts w:hint="eastAsia" w:ascii="宋体" w:hAnsi="宋体" w:eastAsia="宋体" w:cs="宋体"/>
                <w:color w:val="000000"/>
                <w:kern w:val="0"/>
                <w:szCs w:val="21"/>
                <w:highlight w:val="none"/>
              </w:rPr>
              <w:t>分；发生过</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2.近3年内没有发生过严重扰乱正常医疗秩序的案件，得</w:t>
            </w:r>
            <w:r>
              <w:rPr>
                <w:rFonts w:ascii="宋体" w:hAnsi="宋体" w:eastAsia="宋体" w:cs="宋体"/>
                <w:color w:val="000000"/>
                <w:kern w:val="0"/>
                <w:szCs w:val="21"/>
                <w:highlight w:val="none"/>
              </w:rPr>
              <w:t>3</w:t>
            </w:r>
            <w:r>
              <w:rPr>
                <w:rFonts w:hint="eastAsia" w:ascii="宋体" w:hAnsi="宋体" w:eastAsia="宋体" w:cs="宋体"/>
                <w:color w:val="000000"/>
                <w:kern w:val="0"/>
                <w:szCs w:val="21"/>
                <w:highlight w:val="none"/>
              </w:rPr>
              <w:t>分；发生过</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rPr>
              <w:t>分。</w:t>
            </w:r>
          </w:p>
        </w:tc>
        <w:tc>
          <w:tcPr>
            <w:tcW w:w="6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rPr>
              <w:t>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5</w:t>
            </w:r>
            <w:r>
              <w:rPr>
                <w:rFonts w:hint="eastAsia" w:ascii="宋体" w:hAnsi="宋体" w:eastAsia="宋体" w:cs="宋体"/>
                <w:color w:val="000000"/>
                <w:kern w:val="0"/>
                <w:szCs w:val="21"/>
                <w:highlight w:val="none"/>
                <w:lang w:val="en-US" w:eastAsia="zh-CN"/>
              </w:rPr>
              <w:t>2</w:t>
            </w:r>
            <w:r>
              <w:rPr>
                <w:rFonts w:hint="eastAsia" w:ascii="宋体" w:hAnsi="宋体" w:eastAsia="宋体" w:cs="宋体"/>
                <w:color w:val="000000"/>
                <w:kern w:val="0"/>
                <w:szCs w:val="21"/>
                <w:highlight w:val="none"/>
              </w:rPr>
              <w:t>.消防安全</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各单位和居民住宅消防设施齐全、完好，消防车通道通畅。</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现场抽查：随机抽取</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个城区的居民小区和</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家娱乐场所，查看消防安全相关资料，实地了解其消防设施配置、消防车通道等情况。</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在抽查的社区或场所中：</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1.消防设施齐全、完好（火灾自动报警系统、自动灭火系统、消火栓系统、防烟排烟系统以及应急广播和应急照明、安全疏散设施等），得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分；未达标</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2.消防车通道畅通，得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分；未达标</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2家抽查单位满分为</w:t>
            </w:r>
            <w:r>
              <w:rPr>
                <w:rFonts w:ascii="宋体" w:hAnsi="宋体" w:eastAsia="宋体" w:cs="宋体"/>
                <w:color w:val="000000"/>
                <w:kern w:val="0"/>
                <w:szCs w:val="21"/>
                <w:highlight w:val="none"/>
              </w:rPr>
              <w:t>8分。</w:t>
            </w:r>
          </w:p>
        </w:tc>
        <w:tc>
          <w:tcPr>
            <w:tcW w:w="6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8</w:t>
            </w:r>
            <w:r>
              <w:rPr>
                <w:rFonts w:hint="eastAsia" w:ascii="宋体" w:hAnsi="宋体" w:eastAsia="宋体" w:cs="宋体"/>
                <w:color w:val="000000"/>
                <w:kern w:val="0"/>
                <w:szCs w:val="21"/>
                <w:highlight w:val="none"/>
              </w:rPr>
              <w:t>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6" w:hRule="atLeast"/>
          <w:jc w:val="center"/>
        </w:trPr>
        <w:tc>
          <w:tcPr>
            <w:tcW w:w="589" w:type="dxa"/>
            <w:vMerge w:val="restart"/>
            <w:noWrap w:val="0"/>
            <w:vAlign w:val="top"/>
          </w:tcPr>
          <w:p>
            <w:pPr>
              <w:widowControl/>
              <w:spacing w:line="400" w:lineRule="atLeast"/>
              <w:jc w:val="both"/>
              <w:rPr>
                <w:rFonts w:ascii="宋体" w:hAnsi="宋体" w:eastAsia="宋体" w:cs="Times New Roman"/>
                <w:color w:val="000000"/>
                <w:szCs w:val="21"/>
                <w:highlight w:val="none"/>
              </w:rPr>
            </w:pPr>
            <w:r>
              <w:rPr>
                <w:rFonts w:hint="eastAsia" w:ascii="宋体" w:hAnsi="宋体" w:eastAsia="宋体" w:cs="Times New Roman"/>
                <w:b/>
                <w:bCs/>
                <w:kern w:val="0"/>
                <w:szCs w:val="21"/>
                <w:highlight w:val="none"/>
              </w:rPr>
              <w:t>四</w:t>
            </w:r>
            <w:r>
              <w:rPr>
                <w:rFonts w:ascii="宋体" w:hAnsi="宋体" w:eastAsia="宋体" w:cs="Times New Roman"/>
                <w:b/>
                <w:bCs/>
                <w:kern w:val="0"/>
                <w:szCs w:val="21"/>
                <w:highlight w:val="none"/>
              </w:rPr>
              <w:t>、健康服务</w:t>
            </w:r>
          </w:p>
        </w:tc>
        <w:tc>
          <w:tcPr>
            <w:tcW w:w="695" w:type="dxa"/>
            <w:vMerge w:val="restart"/>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第二十一条</w:t>
            </w: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5</w:t>
            </w:r>
            <w:r>
              <w:rPr>
                <w:rFonts w:hint="eastAsia" w:ascii="宋体" w:hAnsi="宋体" w:eastAsia="宋体" w:cs="宋体"/>
                <w:color w:val="000000"/>
                <w:kern w:val="0"/>
                <w:szCs w:val="21"/>
                <w:highlight w:val="none"/>
                <w:lang w:val="en-US" w:eastAsia="zh-CN"/>
              </w:rPr>
              <w:t>3</w:t>
            </w:r>
            <w:r>
              <w:rPr>
                <w:rFonts w:hint="eastAsia" w:ascii="宋体" w:hAnsi="宋体" w:eastAsia="宋体" w:cs="宋体"/>
                <w:color w:val="000000"/>
                <w:kern w:val="0"/>
                <w:szCs w:val="21"/>
                <w:highlight w:val="none"/>
              </w:rPr>
              <w:t>.县域内基本医疗卫生资源配置</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专业公共卫生机构、医院、基层医疗卫生机构等按常住人口和服务半径合理布局，各级各类医疗卫生机构符合国家设置和建设标准，促进人人享有均等化的基本医疗卫生服务。</w:t>
            </w:r>
          </w:p>
        </w:tc>
        <w:tc>
          <w:tcPr>
            <w:tcW w:w="3095"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查阅资料：</w:t>
            </w:r>
            <w:r>
              <w:rPr>
                <w:rFonts w:hint="eastAsia" w:ascii="宋体" w:hAnsi="宋体" w:eastAsia="宋体" w:cs="宋体"/>
                <w:color w:val="000000"/>
                <w:kern w:val="0"/>
                <w:szCs w:val="21"/>
                <w:highlight w:val="none"/>
              </w:rPr>
              <w:t>医疗卫生服务体系建设相关</w:t>
            </w:r>
            <w:r>
              <w:rPr>
                <w:rFonts w:hint="eastAsia" w:ascii="宋体" w:hAnsi="宋体" w:eastAsia="宋体" w:cs="宋体"/>
                <w:color w:val="000000"/>
                <w:kern w:val="0"/>
                <w:szCs w:val="21"/>
                <w:highlight w:val="none"/>
                <w:lang w:val="en-US" w:eastAsia="zh-CN"/>
              </w:rPr>
              <w:t>资料</w:t>
            </w:r>
            <w:r>
              <w:rPr>
                <w:rFonts w:hint="eastAsia" w:ascii="宋体" w:hAnsi="宋体" w:eastAsia="宋体" w:cs="宋体"/>
                <w:color w:val="000000"/>
                <w:kern w:val="0"/>
                <w:szCs w:val="21"/>
                <w:highlight w:val="none"/>
              </w:rPr>
              <w:t>。</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资料来源：卫生健康等部门。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1.每万人口公共卫生人员数近3年持续增长，得1分；维持不变或有下降趋势，不得分。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2.每千人口执业（助理）医师数≥所在省份同期平均水平，得1分；＜平均水平</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3.每万人全科医生数≥所在省份同期平均水平，得1分；＜平均水平</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4.辖区社区卫生服务中心配置达到要求，即每个街道办或每3万-10万人口设置1所社区卫生服务中心，得1分；未达标</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5.辖区社区卫生服务站配置达到要求，即每3-5个居委会或每1万-2万人口设置1所社区卫生服务站，得1分；未达标</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6.每个乡镇都建有标准化乡镇卫生院，得1分；乡镇卫生院未能全覆盖，不得分。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该指标满分为6分。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6分</w:t>
            </w:r>
          </w:p>
        </w:tc>
        <w:tc>
          <w:tcPr>
            <w:tcW w:w="900"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cs="宋体"/>
                <w:color w:val="000000"/>
                <w:kern w:val="0"/>
                <w:szCs w:val="21"/>
                <w:highlight w:val="none"/>
                <w:lang w:val="en-US" w:eastAsia="zh-CN"/>
              </w:rPr>
              <w:t>见附录2：87、88、89、90、91、92、93、94、95。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5</w:t>
            </w:r>
            <w:r>
              <w:rPr>
                <w:rFonts w:hint="eastAsia" w:ascii="宋体" w:hAnsi="宋体" w:eastAsia="宋体" w:cs="宋体"/>
                <w:color w:val="000000"/>
                <w:kern w:val="0"/>
                <w:szCs w:val="21"/>
                <w:highlight w:val="none"/>
                <w:lang w:val="en-US" w:eastAsia="zh-CN"/>
              </w:rPr>
              <w:t>4</w:t>
            </w:r>
            <w:r>
              <w:rPr>
                <w:rFonts w:hint="eastAsia" w:ascii="宋体" w:hAnsi="宋体" w:eastAsia="宋体" w:cs="宋体"/>
                <w:color w:val="000000"/>
                <w:kern w:val="0"/>
                <w:szCs w:val="21"/>
                <w:highlight w:val="none"/>
              </w:rPr>
              <w:t>.全方位全周期健康服务</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建立完善全方位全周期健康服务体系，满足辖区健康服务需求。</w:t>
            </w:r>
            <w:r>
              <w:rPr>
                <w:rFonts w:hint="eastAsia" w:ascii="宋体" w:hAnsi="宋体" w:eastAsia="宋体" w:cs="宋体"/>
                <w:kern w:val="0"/>
                <w:szCs w:val="21"/>
                <w:highlight w:val="none"/>
              </w:rPr>
              <w:t>加强高血压、糖尿病患者管理，逐步实现高血压、糖尿病患者管理干预全覆盖。</w:t>
            </w:r>
          </w:p>
        </w:tc>
        <w:tc>
          <w:tcPr>
            <w:tcW w:w="3095"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查阅资料：</w:t>
            </w:r>
            <w:r>
              <w:rPr>
                <w:rFonts w:hint="eastAsia" w:ascii="宋体" w:hAnsi="宋体" w:eastAsia="宋体" w:cs="宋体"/>
                <w:color w:val="000000"/>
                <w:kern w:val="0"/>
                <w:szCs w:val="21"/>
                <w:highlight w:val="none"/>
              </w:rPr>
              <w:t>全方位全周期健康服务体系建设相关</w:t>
            </w:r>
            <w:r>
              <w:rPr>
                <w:rFonts w:hint="eastAsia" w:ascii="宋体" w:hAnsi="宋体" w:eastAsia="宋体" w:cs="宋体"/>
                <w:color w:val="000000"/>
                <w:kern w:val="0"/>
                <w:szCs w:val="21"/>
                <w:highlight w:val="none"/>
                <w:lang w:val="en-US" w:eastAsia="zh-CN"/>
              </w:rPr>
              <w:t>资料</w:t>
            </w:r>
            <w:r>
              <w:rPr>
                <w:rFonts w:hint="eastAsia" w:ascii="宋体" w:hAnsi="宋体" w:eastAsia="宋体" w:cs="宋体"/>
                <w:color w:val="000000"/>
                <w:kern w:val="0"/>
                <w:szCs w:val="21"/>
                <w:highlight w:val="none"/>
              </w:rPr>
              <w:t>。</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资料来源：卫生健康等部门。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1.辖区内建有标准化的妇幼保健机构，得2分；未建</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2.辖区内≥80%的乡镇卫生院、社区卫生服务中心配备2名以上专业从事儿童保健的医生</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得2分；≥60％且＜80％</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得1分；≥50％且＜60％</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得0.5分；＜50％</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3.县区范围内至少有1家承担职业健康检查的医疗卫生机构，得2分；没有</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4.慢性病管理率：</w:t>
            </w:r>
          </w:p>
          <w:p>
            <w:pPr>
              <w:widowControl/>
              <w:jc w:val="both"/>
              <w:rPr>
                <w:rFonts w:ascii="宋体" w:hAnsi="宋体" w:eastAsia="宋体" w:cs="宋体"/>
                <w:kern w:val="0"/>
                <w:szCs w:val="21"/>
                <w:highlight w:val="none"/>
              </w:rPr>
            </w:pPr>
            <w:r>
              <w:rPr>
                <w:rFonts w:hint="eastAsia" w:ascii="宋体" w:hAnsi="宋体" w:eastAsia="宋体" w:cs="宋体"/>
                <w:kern w:val="0"/>
                <w:szCs w:val="21"/>
                <w:highlight w:val="none"/>
              </w:rPr>
              <w:t>①高血压患者规范管理率≥60%，得1分；＜60%</w:t>
            </w:r>
            <w:r>
              <w:rPr>
                <w:rFonts w:hint="eastAsia" w:ascii="宋体" w:hAnsi="宋体" w:cs="宋体"/>
                <w:kern w:val="0"/>
                <w:szCs w:val="21"/>
                <w:highlight w:val="none"/>
                <w:lang w:eastAsia="zh-CN"/>
              </w:rPr>
              <w:t>，</w:t>
            </w:r>
            <w:r>
              <w:rPr>
                <w:rFonts w:hint="eastAsia" w:ascii="宋体" w:hAnsi="宋体" w:eastAsia="宋体" w:cs="宋体"/>
                <w:kern w:val="0"/>
                <w:szCs w:val="21"/>
                <w:highlight w:val="none"/>
              </w:rPr>
              <w:t>不得分。</w:t>
            </w:r>
          </w:p>
          <w:p>
            <w:pPr>
              <w:widowControl/>
              <w:jc w:val="both"/>
              <w:rPr>
                <w:rFonts w:ascii="宋体" w:hAnsi="宋体" w:eastAsia="宋体" w:cs="宋体"/>
                <w:kern w:val="0"/>
                <w:szCs w:val="21"/>
                <w:highlight w:val="none"/>
              </w:rPr>
            </w:pPr>
            <w:r>
              <w:rPr>
                <w:rFonts w:hint="eastAsia" w:ascii="宋体" w:hAnsi="宋体" w:eastAsia="宋体" w:cs="宋体"/>
                <w:kern w:val="0"/>
                <w:szCs w:val="21"/>
                <w:highlight w:val="none"/>
              </w:rPr>
              <w:t>②糖尿病患者规范管理率≥60%，得1分</w:t>
            </w:r>
            <w:r>
              <w:rPr>
                <w:rFonts w:hint="eastAsia" w:ascii="宋体" w:hAnsi="宋体" w:cs="宋体"/>
                <w:kern w:val="0"/>
                <w:szCs w:val="21"/>
                <w:highlight w:val="none"/>
                <w:lang w:eastAsia="zh-CN"/>
              </w:rPr>
              <w:t>；</w:t>
            </w:r>
            <w:r>
              <w:rPr>
                <w:rFonts w:hint="eastAsia" w:ascii="宋体" w:hAnsi="宋体" w:eastAsia="宋体" w:cs="宋体"/>
                <w:kern w:val="0"/>
                <w:szCs w:val="21"/>
                <w:highlight w:val="none"/>
              </w:rPr>
              <w:t>＜60%</w:t>
            </w:r>
            <w:r>
              <w:rPr>
                <w:rFonts w:hint="eastAsia" w:ascii="宋体" w:hAnsi="宋体" w:cs="宋体"/>
                <w:kern w:val="0"/>
                <w:szCs w:val="21"/>
                <w:highlight w:val="none"/>
                <w:lang w:eastAsia="zh-CN"/>
              </w:rPr>
              <w:t>，</w:t>
            </w:r>
            <w:r>
              <w:rPr>
                <w:rFonts w:hint="eastAsia" w:ascii="宋体" w:hAnsi="宋体" w:eastAsia="宋体" w:cs="宋体"/>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该指标满分为8分。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8分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宋体"/>
                <w:color w:val="000000"/>
                <w:kern w:val="0"/>
                <w:szCs w:val="21"/>
                <w:highlight w:val="none"/>
              </w:rPr>
            </w:pPr>
          </w:p>
        </w:tc>
        <w:tc>
          <w:tcPr>
            <w:tcW w:w="695" w:type="dxa"/>
            <w:vMerge w:val="restart"/>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第二十二条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5</w:t>
            </w:r>
            <w:r>
              <w:rPr>
                <w:rFonts w:hint="eastAsia" w:ascii="宋体" w:hAnsi="宋体" w:eastAsia="宋体" w:cs="宋体"/>
                <w:color w:val="000000"/>
                <w:kern w:val="0"/>
                <w:szCs w:val="21"/>
                <w:highlight w:val="none"/>
                <w:lang w:val="en-US" w:eastAsia="zh-CN"/>
              </w:rPr>
              <w:t>5</w:t>
            </w:r>
            <w:r>
              <w:rPr>
                <w:rFonts w:ascii="宋体" w:hAnsi="宋体" w:eastAsia="宋体" w:cs="宋体"/>
                <w:color w:val="000000"/>
                <w:kern w:val="0"/>
                <w:szCs w:val="21"/>
                <w:highlight w:val="none"/>
              </w:rPr>
              <w:t>.家庭医生签约服务</w:t>
            </w:r>
          </w:p>
        </w:tc>
        <w:tc>
          <w:tcPr>
            <w:tcW w:w="24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健全家庭医生签约服务团队，</w:t>
            </w:r>
            <w:r>
              <w:rPr>
                <w:rFonts w:hint="eastAsia" w:ascii="宋体" w:hAnsi="宋体" w:eastAsia="宋体" w:cs="宋体"/>
                <w:color w:val="000000"/>
                <w:kern w:val="0"/>
                <w:szCs w:val="21"/>
                <w:highlight w:val="none"/>
              </w:rPr>
              <w:t>增加签约服务供给，扩大签约服务覆盖面，强化签约服务内涵，推进有效签约、规范签约。</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现场抽查：随机抽取1家社区卫生服务中心或1家乡镇卫生院，查阅家庭医生签约服务开展、质量控制等情况。</w:t>
            </w:r>
          </w:p>
        </w:tc>
        <w:tc>
          <w:tcPr>
            <w:tcW w:w="5836" w:type="dxa"/>
            <w:noWrap w:val="0"/>
            <w:vAlign w:val="top"/>
          </w:tcPr>
          <w:p>
            <w:pPr>
              <w:widowControl/>
              <w:numPr>
                <w:ilvl w:val="0"/>
                <w:numId w:val="0"/>
              </w:num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1.定期开展家庭医生签约服务质量考核，得1分；未考核</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numPr>
                <w:ilvl w:val="0"/>
                <w:numId w:val="0"/>
              </w:num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2.能够为签约居民提供优先转诊、检查、住院等服务，得1.5分；不能提供</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numPr>
                <w:ilvl w:val="0"/>
                <w:numId w:val="0"/>
              </w:num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3.能够为签约慢病患者提供大于4周长处方服务，得1.5分；不能提供</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4.</w:t>
            </w:r>
            <w:r>
              <w:rPr>
                <w:rFonts w:ascii="宋体" w:hAnsi="宋体" w:eastAsia="宋体" w:cs="宋体"/>
                <w:color w:val="000000"/>
                <w:kern w:val="0"/>
                <w:szCs w:val="21"/>
                <w:highlight w:val="none"/>
              </w:rPr>
              <w:t>重点人群签约服务覆盖率≥70%，得2分；</w:t>
            </w:r>
            <w:r>
              <w:rPr>
                <w:rFonts w:hint="eastAsia" w:ascii="宋体" w:hAnsi="宋体" w:eastAsia="宋体" w:cs="宋体"/>
                <w:color w:val="000000"/>
                <w:kern w:val="0"/>
                <w:szCs w:val="21"/>
                <w:highlight w:val="none"/>
              </w:rPr>
              <w:t>＜70%</w:t>
            </w:r>
            <w:r>
              <w:rPr>
                <w:rFonts w:hint="eastAsia" w:ascii="宋体" w:hAnsi="宋体" w:cs="宋体"/>
                <w:color w:val="000000"/>
                <w:kern w:val="0"/>
                <w:szCs w:val="21"/>
                <w:highlight w:val="none"/>
                <w:lang w:eastAsia="zh-CN"/>
              </w:rPr>
              <w:t>，</w:t>
            </w:r>
            <w:r>
              <w:rPr>
                <w:rFonts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w:t>
            </w:r>
            <w:r>
              <w:rPr>
                <w:rFonts w:ascii="宋体" w:hAnsi="宋体" w:eastAsia="宋体" w:cs="宋体"/>
                <w:color w:val="000000"/>
                <w:kern w:val="0"/>
                <w:szCs w:val="21"/>
                <w:highlight w:val="none"/>
              </w:rPr>
              <w:t>满分为6分。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6</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9" w:type="dxa"/>
            <w:vMerge w:val="continue"/>
            <w:noWrap w:val="0"/>
            <w:vAlign w:val="top"/>
          </w:tcPr>
          <w:p>
            <w:pPr>
              <w:widowControl/>
              <w:spacing w:line="400" w:lineRule="atLeast"/>
              <w:jc w:val="both"/>
              <w:rPr>
                <w:rFonts w:ascii="宋体" w:hAnsi="宋体" w:eastAsia="宋体" w:cs="宋体"/>
                <w:color w:val="000000"/>
                <w:kern w:val="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5</w:t>
            </w:r>
            <w:r>
              <w:rPr>
                <w:rFonts w:hint="eastAsia" w:ascii="宋体" w:hAnsi="宋体" w:eastAsia="宋体" w:cs="宋体"/>
                <w:color w:val="000000"/>
                <w:kern w:val="0"/>
                <w:szCs w:val="21"/>
                <w:highlight w:val="none"/>
                <w:lang w:val="en-US" w:eastAsia="zh-CN"/>
              </w:rPr>
              <w:t>6</w:t>
            </w:r>
            <w:r>
              <w:rPr>
                <w:rFonts w:ascii="宋体" w:hAnsi="宋体" w:eastAsia="宋体" w:cs="宋体"/>
                <w:color w:val="000000"/>
                <w:kern w:val="0"/>
                <w:szCs w:val="21"/>
                <w:highlight w:val="none"/>
              </w:rPr>
              <w:t>.县域内就诊率逐年提升</w:t>
            </w:r>
          </w:p>
        </w:tc>
        <w:tc>
          <w:tcPr>
            <w:tcW w:w="24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县域内就诊率达到</w:t>
            </w:r>
            <w:r>
              <w:rPr>
                <w:rFonts w:hint="eastAsia" w:ascii="宋体" w:hAnsi="宋体" w:eastAsia="宋体" w:cs="宋体"/>
                <w:color w:val="000000"/>
                <w:kern w:val="0"/>
                <w:szCs w:val="21"/>
                <w:highlight w:val="none"/>
              </w:rPr>
              <w:t>90</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rPr>
              <w:t>且</w:t>
            </w:r>
            <w:r>
              <w:rPr>
                <w:rFonts w:ascii="宋体" w:hAnsi="宋体" w:eastAsia="宋体" w:cs="宋体"/>
                <w:color w:val="000000"/>
                <w:kern w:val="0"/>
                <w:szCs w:val="21"/>
                <w:highlight w:val="none"/>
              </w:rPr>
              <w:t>近</w:t>
            </w:r>
            <w:r>
              <w:rPr>
                <w:rFonts w:hint="eastAsia" w:ascii="宋体" w:hAnsi="宋体" w:eastAsia="宋体" w:cs="宋体"/>
                <w:color w:val="000000"/>
                <w:kern w:val="0"/>
                <w:szCs w:val="21"/>
                <w:highlight w:val="none"/>
              </w:rPr>
              <w:t>3</w:t>
            </w:r>
            <w:r>
              <w:rPr>
                <w:rFonts w:ascii="宋体" w:hAnsi="宋体" w:eastAsia="宋体" w:cs="宋体"/>
                <w:color w:val="000000"/>
                <w:kern w:val="0"/>
                <w:szCs w:val="21"/>
                <w:highlight w:val="none"/>
              </w:rPr>
              <w:t>年县域内就诊率逐年提升。县域就诊率（%）=参保人员县域内门急诊人次/参保人员门急诊总人次×100%。</w:t>
            </w:r>
          </w:p>
        </w:tc>
        <w:tc>
          <w:tcPr>
            <w:tcW w:w="3095"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查阅资料：县域内就诊率相关资料。</w:t>
            </w:r>
          </w:p>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资料来源：卫生健康部门或医保信息系统。</w:t>
            </w:r>
          </w:p>
        </w:tc>
        <w:tc>
          <w:tcPr>
            <w:tcW w:w="5836" w:type="dxa"/>
            <w:noWrap w:val="0"/>
            <w:vAlign w:val="top"/>
          </w:tcPr>
          <w:p>
            <w:pPr>
              <w:widowControl w:val="0"/>
              <w:ind w:firstLine="0" w:firstLineChars="0"/>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w:t>
            </w:r>
            <w:r>
              <w:rPr>
                <w:rFonts w:ascii="宋体" w:hAnsi="宋体" w:eastAsia="宋体" w:cs="宋体"/>
                <w:color w:val="000000"/>
                <w:kern w:val="0"/>
                <w:sz w:val="21"/>
                <w:szCs w:val="21"/>
                <w:highlight w:val="none"/>
                <w:lang w:val="en-US" w:eastAsia="zh-CN" w:bidi="ar-SA"/>
              </w:rPr>
              <w:t>县域内就诊率</w:t>
            </w:r>
            <w:r>
              <w:rPr>
                <w:rFonts w:hint="eastAsia" w:ascii="宋体" w:hAnsi="宋体" w:eastAsia="宋体" w:cs="宋体"/>
                <w:color w:val="000000"/>
                <w:kern w:val="0"/>
                <w:sz w:val="21"/>
                <w:szCs w:val="21"/>
                <w:highlight w:val="none"/>
                <w:lang w:val="en-US" w:eastAsia="zh-CN" w:bidi="ar-SA"/>
              </w:rPr>
              <w:t>≥90</w:t>
            </w:r>
            <w:r>
              <w:rPr>
                <w:rFonts w:ascii="宋体" w:hAnsi="宋体" w:eastAsia="宋体" w:cs="宋体"/>
                <w:color w:val="000000"/>
                <w:kern w:val="0"/>
                <w:sz w:val="21"/>
                <w:szCs w:val="21"/>
                <w:highlight w:val="none"/>
                <w:lang w:val="en-US" w:eastAsia="zh-CN" w:bidi="ar-SA"/>
              </w:rPr>
              <w:t>%，得</w:t>
            </w:r>
            <w:r>
              <w:rPr>
                <w:rFonts w:hint="eastAsia" w:ascii="宋体" w:hAnsi="宋体" w:eastAsia="宋体" w:cs="宋体"/>
                <w:color w:val="000000"/>
                <w:kern w:val="0"/>
                <w:sz w:val="21"/>
                <w:szCs w:val="21"/>
                <w:highlight w:val="none"/>
                <w:lang w:val="en-US" w:eastAsia="zh-CN" w:bidi="ar-SA"/>
              </w:rPr>
              <w:t>4</w:t>
            </w:r>
            <w:r>
              <w:rPr>
                <w:rFonts w:ascii="宋体" w:hAnsi="宋体" w:eastAsia="宋体" w:cs="宋体"/>
                <w:color w:val="000000"/>
                <w:kern w:val="0"/>
                <w:sz w:val="21"/>
                <w:szCs w:val="21"/>
                <w:highlight w:val="none"/>
                <w:lang w:val="en-US" w:eastAsia="zh-CN" w:bidi="ar-SA"/>
              </w:rPr>
              <w:t>分；</w:t>
            </w:r>
            <w:r>
              <w:rPr>
                <w:rFonts w:hint="eastAsia" w:ascii="宋体" w:hAnsi="宋体" w:eastAsia="宋体" w:cs="宋体"/>
                <w:color w:val="000000"/>
                <w:kern w:val="0"/>
                <w:sz w:val="21"/>
                <w:szCs w:val="21"/>
                <w:highlight w:val="none"/>
                <w:lang w:val="en-US" w:eastAsia="zh-CN" w:bidi="ar-SA"/>
              </w:rPr>
              <w:t>＜90%</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val="0"/>
              <w:ind w:firstLine="0" w:firstLineChars="0"/>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w:t>
            </w:r>
            <w:r>
              <w:rPr>
                <w:rFonts w:ascii="宋体" w:hAnsi="宋体" w:eastAsia="宋体" w:cs="宋体"/>
                <w:color w:val="000000"/>
                <w:kern w:val="0"/>
                <w:sz w:val="21"/>
                <w:szCs w:val="21"/>
                <w:highlight w:val="none"/>
                <w:lang w:val="en-US" w:eastAsia="zh-CN" w:bidi="ar-SA"/>
              </w:rPr>
              <w:t>近</w:t>
            </w:r>
            <w:r>
              <w:rPr>
                <w:rFonts w:hint="eastAsia" w:ascii="宋体" w:hAnsi="宋体" w:eastAsia="宋体" w:cs="宋体"/>
                <w:color w:val="000000"/>
                <w:kern w:val="0"/>
                <w:sz w:val="21"/>
                <w:szCs w:val="21"/>
                <w:highlight w:val="none"/>
                <w:lang w:val="en-US" w:eastAsia="zh-CN" w:bidi="ar-SA"/>
              </w:rPr>
              <w:t>3</w:t>
            </w:r>
            <w:r>
              <w:rPr>
                <w:rFonts w:ascii="宋体" w:hAnsi="宋体" w:eastAsia="宋体" w:cs="宋体"/>
                <w:color w:val="000000"/>
                <w:kern w:val="0"/>
                <w:sz w:val="21"/>
                <w:szCs w:val="21"/>
                <w:highlight w:val="none"/>
                <w:lang w:val="en-US" w:eastAsia="zh-CN" w:bidi="ar-SA"/>
              </w:rPr>
              <w:t>年县域内就诊率逐年提高，得</w:t>
            </w:r>
            <w:r>
              <w:rPr>
                <w:rFonts w:hint="eastAsia" w:ascii="宋体" w:hAnsi="宋体" w:eastAsia="宋体" w:cs="宋体"/>
                <w:color w:val="000000"/>
                <w:kern w:val="0"/>
                <w:sz w:val="21"/>
                <w:szCs w:val="21"/>
                <w:highlight w:val="none"/>
                <w:lang w:val="en-US" w:eastAsia="zh-CN" w:bidi="ar-SA"/>
              </w:rPr>
              <w:t>4</w:t>
            </w:r>
            <w:r>
              <w:rPr>
                <w:rFonts w:ascii="宋体" w:hAnsi="宋体" w:eastAsia="宋体" w:cs="宋体"/>
                <w:color w:val="000000"/>
                <w:kern w:val="0"/>
                <w:sz w:val="21"/>
                <w:szCs w:val="21"/>
                <w:highlight w:val="none"/>
                <w:lang w:val="en-US" w:eastAsia="zh-CN" w:bidi="ar-SA"/>
              </w:rPr>
              <w:t>分</w:t>
            </w:r>
            <w:r>
              <w:rPr>
                <w:rFonts w:hint="eastAsia" w:ascii="宋体" w:hAnsi="宋体" w:eastAsia="宋体" w:cs="宋体"/>
                <w:color w:val="000000"/>
                <w:kern w:val="0"/>
                <w:sz w:val="21"/>
                <w:szCs w:val="21"/>
                <w:highlight w:val="none"/>
                <w:lang w:val="en-US" w:eastAsia="zh-CN" w:bidi="ar-SA"/>
              </w:rPr>
              <w:t>；</w:t>
            </w:r>
            <w:r>
              <w:rPr>
                <w:rFonts w:ascii="宋体" w:hAnsi="宋体" w:eastAsia="宋体" w:cs="宋体"/>
                <w:color w:val="000000"/>
                <w:kern w:val="0"/>
                <w:sz w:val="21"/>
                <w:szCs w:val="21"/>
                <w:highlight w:val="none"/>
                <w:lang w:val="en-US" w:eastAsia="zh-CN" w:bidi="ar-SA"/>
              </w:rPr>
              <w:t>其中有</w:t>
            </w:r>
            <w:r>
              <w:rPr>
                <w:rFonts w:hint="eastAsia" w:ascii="宋体" w:hAnsi="宋体" w:eastAsia="宋体" w:cs="宋体"/>
                <w:color w:val="000000"/>
                <w:kern w:val="0"/>
                <w:sz w:val="21"/>
                <w:szCs w:val="21"/>
                <w:highlight w:val="none"/>
                <w:lang w:val="en-US" w:eastAsia="zh-CN" w:bidi="ar-SA"/>
              </w:rPr>
              <w:t>1</w:t>
            </w:r>
            <w:r>
              <w:rPr>
                <w:rFonts w:ascii="宋体" w:hAnsi="宋体" w:eastAsia="宋体" w:cs="宋体"/>
                <w:color w:val="000000"/>
                <w:kern w:val="0"/>
                <w:sz w:val="21"/>
                <w:szCs w:val="21"/>
                <w:highlight w:val="none"/>
                <w:lang w:val="en-US" w:eastAsia="zh-CN" w:bidi="ar-SA"/>
              </w:rPr>
              <w:t>年下降</w:t>
            </w:r>
            <w:r>
              <w:rPr>
                <w:rFonts w:hint="eastAsia" w:ascii="宋体" w:hAnsi="宋体" w:cs="宋体"/>
                <w:color w:val="000000"/>
                <w:kern w:val="0"/>
                <w:sz w:val="21"/>
                <w:szCs w:val="21"/>
                <w:highlight w:val="none"/>
                <w:lang w:val="en-US" w:eastAsia="zh-CN" w:bidi="ar-SA"/>
              </w:rPr>
              <w:t>，</w:t>
            </w:r>
            <w:r>
              <w:rPr>
                <w:rFonts w:ascii="宋体" w:hAnsi="宋体" w:eastAsia="宋体" w:cs="宋体"/>
                <w:color w:val="000000"/>
                <w:kern w:val="0"/>
                <w:sz w:val="21"/>
                <w:szCs w:val="21"/>
                <w:highlight w:val="none"/>
                <w:lang w:val="en-US" w:eastAsia="zh-CN" w:bidi="ar-SA"/>
              </w:rPr>
              <w:t>得</w:t>
            </w:r>
            <w:r>
              <w:rPr>
                <w:rFonts w:hint="eastAsia" w:ascii="宋体" w:hAnsi="宋体" w:eastAsia="宋体" w:cs="宋体"/>
                <w:color w:val="000000"/>
                <w:kern w:val="0"/>
                <w:sz w:val="21"/>
                <w:szCs w:val="21"/>
                <w:highlight w:val="none"/>
                <w:lang w:val="en-US" w:eastAsia="zh-CN" w:bidi="ar-SA"/>
              </w:rPr>
              <w:t>2</w:t>
            </w:r>
            <w:r>
              <w:rPr>
                <w:rFonts w:ascii="宋体" w:hAnsi="宋体" w:eastAsia="宋体" w:cs="宋体"/>
                <w:color w:val="000000"/>
                <w:kern w:val="0"/>
                <w:sz w:val="21"/>
                <w:szCs w:val="21"/>
                <w:highlight w:val="none"/>
                <w:lang w:val="en-US" w:eastAsia="zh-CN" w:bidi="ar-SA"/>
              </w:rPr>
              <w:t>分</w:t>
            </w:r>
            <w:r>
              <w:rPr>
                <w:rFonts w:hint="eastAsia" w:ascii="宋体" w:hAnsi="宋体" w:eastAsia="宋体" w:cs="宋体"/>
                <w:color w:val="000000"/>
                <w:kern w:val="0"/>
                <w:sz w:val="21"/>
                <w:szCs w:val="21"/>
                <w:highlight w:val="none"/>
                <w:lang w:val="en-US" w:eastAsia="zh-CN" w:bidi="ar-SA"/>
              </w:rPr>
              <w:t>；</w:t>
            </w:r>
            <w:r>
              <w:rPr>
                <w:rFonts w:ascii="宋体" w:hAnsi="宋体" w:eastAsia="宋体" w:cs="宋体"/>
                <w:color w:val="000000"/>
                <w:kern w:val="0"/>
                <w:sz w:val="21"/>
                <w:szCs w:val="21"/>
                <w:highlight w:val="none"/>
                <w:lang w:val="en-US" w:eastAsia="zh-CN" w:bidi="ar-SA"/>
              </w:rPr>
              <w:t>逐年下降</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r>
              <w:rPr>
                <w:rFonts w:ascii="宋体" w:hAnsi="宋体" w:eastAsia="宋体" w:cs="宋体"/>
                <w:color w:val="000000"/>
                <w:kern w:val="0"/>
                <w:sz w:val="21"/>
                <w:szCs w:val="21"/>
                <w:highlight w:val="none"/>
                <w:lang w:val="en-US" w:eastAsia="zh-CN" w:bidi="ar-SA"/>
              </w:rPr>
              <w:t>。</w:t>
            </w:r>
          </w:p>
          <w:p>
            <w:pPr>
              <w:widowControl/>
              <w:jc w:val="both"/>
              <w:rPr>
                <w:rFonts w:ascii="宋体" w:hAnsi="宋体" w:eastAsia="宋体" w:cs="宋体"/>
                <w:color w:val="000000"/>
                <w:kern w:val="0"/>
                <w:szCs w:val="21"/>
                <w:highlight w:val="none"/>
              </w:rPr>
            </w:pPr>
            <w:r>
              <w:rPr>
                <w:rFonts w:hint="eastAsia" w:ascii="宋体" w:hAnsi="宋体" w:eastAsia="宋体" w:cs="宋体"/>
                <w:kern w:val="0"/>
                <w:szCs w:val="21"/>
                <w:highlight w:val="none"/>
              </w:rPr>
              <w:t>该指标满分为8分。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8分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宋体"/>
                <w:color w:val="000000"/>
                <w:kern w:val="0"/>
                <w:szCs w:val="21"/>
                <w:highlight w:val="none"/>
              </w:rPr>
            </w:pPr>
          </w:p>
        </w:tc>
        <w:tc>
          <w:tcPr>
            <w:tcW w:w="695" w:type="dxa"/>
            <w:vMerge w:val="restart"/>
            <w:noWrap w:val="0"/>
            <w:vAlign w:val="top"/>
          </w:tcPr>
          <w:p>
            <w:p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第二十三条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57</w:t>
            </w:r>
            <w:r>
              <w:rPr>
                <w:rFonts w:hint="eastAsia" w:ascii="宋体" w:hAnsi="宋体" w:eastAsia="宋体" w:cs="宋体"/>
                <w:color w:val="000000"/>
                <w:kern w:val="0"/>
                <w:szCs w:val="21"/>
                <w:highlight w:val="none"/>
              </w:rPr>
              <w:t>.改善疾病预防控制基础条件</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不断完善疾病预防控制体系，加强疾病预防控制基础设施建设，强化疾病预防控制人才队伍，提高疾病预防控制</w:t>
            </w:r>
            <w:r>
              <w:rPr>
                <w:rFonts w:hint="eastAsia" w:ascii="宋体" w:hAnsi="宋体" w:eastAsia="宋体" w:cs="宋体"/>
                <w:color w:val="000000"/>
                <w:kern w:val="0"/>
                <w:szCs w:val="21"/>
                <w:highlight w:val="none"/>
                <w:lang w:val="en-US" w:eastAsia="zh-CN"/>
              </w:rPr>
              <w:t>网络安全和</w:t>
            </w:r>
            <w:r>
              <w:rPr>
                <w:rFonts w:hint="eastAsia" w:ascii="宋体" w:hAnsi="宋体" w:eastAsia="宋体" w:cs="宋体"/>
                <w:color w:val="000000"/>
                <w:kern w:val="0"/>
                <w:szCs w:val="21"/>
                <w:highlight w:val="none"/>
              </w:rPr>
              <w:t>信息化水平。</w:t>
            </w:r>
          </w:p>
        </w:tc>
        <w:tc>
          <w:tcPr>
            <w:tcW w:w="3095"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查阅资料：</w:t>
            </w:r>
            <w:r>
              <w:rPr>
                <w:rFonts w:hint="eastAsia" w:ascii="宋体" w:hAnsi="宋体" w:eastAsia="宋体" w:cs="宋体"/>
                <w:color w:val="000000"/>
                <w:kern w:val="0"/>
                <w:szCs w:val="21"/>
                <w:highlight w:val="none"/>
              </w:rPr>
              <w:t>疾病预防控制工作相关资料</w:t>
            </w:r>
            <w:r>
              <w:rPr>
                <w:rFonts w:ascii="宋体" w:hAnsi="宋体" w:eastAsia="宋体" w:cs="宋体"/>
                <w:color w:val="000000"/>
                <w:kern w:val="0"/>
                <w:szCs w:val="21"/>
                <w:highlight w:val="none"/>
              </w:rPr>
              <w:t>。</w:t>
            </w:r>
          </w:p>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资料来源：卫生健康部门。</w:t>
            </w:r>
          </w:p>
        </w:tc>
        <w:tc>
          <w:tcPr>
            <w:tcW w:w="5836" w:type="dxa"/>
            <w:noWrap w:val="0"/>
            <w:vAlign w:val="top"/>
          </w:tcPr>
          <w:p>
            <w:pPr>
              <w:widowControl w:val="0"/>
              <w:ind w:firstLine="0" w:firstLineChars="0"/>
              <w:jc w:val="both"/>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当地疾病预防控制机构基础设施和设备配置达到《疾病预防控制中心建设标准》，得</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分；未达到</w:t>
            </w:r>
            <w:r>
              <w:rPr>
                <w:rFonts w:hint="eastAsia" w:ascii="宋体" w:hAnsi="宋体" w:cs="宋体"/>
                <w:color w:val="000000"/>
                <w:kern w:val="0"/>
                <w:sz w:val="21"/>
                <w:szCs w:val="21"/>
                <w:highlight w:val="none"/>
                <w:lang w:val="en-US" w:eastAsia="zh-CN" w:bidi="ar-SA"/>
              </w:rPr>
              <w:t>标准，</w:t>
            </w:r>
            <w:r>
              <w:rPr>
                <w:rFonts w:hint="eastAsia" w:ascii="宋体" w:hAnsi="宋体" w:eastAsia="宋体" w:cs="宋体"/>
                <w:color w:val="000000"/>
                <w:kern w:val="0"/>
                <w:sz w:val="21"/>
                <w:szCs w:val="21"/>
                <w:highlight w:val="none"/>
                <w:lang w:val="en-US" w:eastAsia="zh-CN" w:bidi="ar-SA"/>
              </w:rPr>
              <w:t>不得分。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900" w:type="dxa"/>
            <w:vMerge w:val="restart"/>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见附录2：91、94、95、96、97、98、99、100、101、102。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宋体"/>
                <w:color w:val="000000"/>
                <w:kern w:val="0"/>
                <w:szCs w:val="21"/>
                <w:highlight w:val="none"/>
              </w:rPr>
            </w:pPr>
          </w:p>
        </w:tc>
        <w:tc>
          <w:tcPr>
            <w:tcW w:w="695" w:type="dxa"/>
            <w:vMerge w:val="continue"/>
            <w:noWrap w:val="0"/>
            <w:vAlign w:val="top"/>
          </w:tcPr>
          <w:p>
            <w:pPr>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58</w:t>
            </w:r>
            <w:r>
              <w:rPr>
                <w:rFonts w:hint="eastAsia" w:ascii="宋体" w:hAnsi="宋体" w:eastAsia="宋体" w:cs="宋体"/>
                <w:color w:val="000000"/>
                <w:kern w:val="0"/>
                <w:szCs w:val="21"/>
                <w:highlight w:val="none"/>
              </w:rPr>
              <w:t>.强化基层公共卫生责任</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居（村）委会设立公共卫生委员会，完善基层疾病防控网络，落实网格化防控管理职责。乡镇卫生院和社区卫生服务中心设置预防保健科室，为每个社区卫生服务中心和乡镇卫生院至少配置1名公共卫生医师，开展疾病预防控制工作。</w:t>
            </w:r>
          </w:p>
        </w:tc>
        <w:tc>
          <w:tcPr>
            <w:tcW w:w="3095"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查阅资料：</w:t>
            </w:r>
            <w:r>
              <w:rPr>
                <w:rFonts w:hint="eastAsia" w:ascii="宋体" w:hAnsi="宋体" w:eastAsia="宋体" w:cs="宋体"/>
                <w:color w:val="000000"/>
                <w:kern w:val="0"/>
                <w:szCs w:val="21"/>
                <w:highlight w:val="none"/>
              </w:rPr>
              <w:t>基层公共卫生工作相关资料</w:t>
            </w:r>
            <w:r>
              <w:rPr>
                <w:rFonts w:ascii="宋体" w:hAnsi="宋体" w:eastAsia="宋体" w:cs="宋体"/>
                <w:color w:val="000000"/>
                <w:kern w:val="0"/>
                <w:szCs w:val="21"/>
                <w:highlight w:val="none"/>
              </w:rPr>
              <w:t>。</w:t>
            </w:r>
          </w:p>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资料来源：卫生健康部门。</w:t>
            </w:r>
          </w:p>
        </w:tc>
        <w:tc>
          <w:tcPr>
            <w:tcW w:w="5836" w:type="dxa"/>
            <w:noWrap w:val="0"/>
            <w:vAlign w:val="top"/>
          </w:tcPr>
          <w:p>
            <w:pPr>
              <w:widowControl w:val="0"/>
              <w:ind w:firstLine="0" w:firstLineChars="0"/>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1.辖区所有居委会（行政村）设立公共卫生委员会，得4分；部分设立，得2分；未设立</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val="0"/>
              <w:ind w:firstLine="0" w:firstLineChars="0"/>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2.辖区所有乡镇卫生院和社区卫生服务中心设置预防保健室，得4分；部分设立，得2分；未设立</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val="0"/>
              <w:ind w:firstLine="0" w:firstLineChars="0"/>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3.每个社区卫生服务中心和乡镇卫生院至少配备1名公共卫生医师，得4分；部分配备，得2分；未配备</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val="0"/>
              <w:ind w:firstLine="0" w:firstLineChars="0"/>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w:t>
            </w:r>
            <w:r>
              <w:rPr>
                <w:rFonts w:ascii="宋体" w:hAnsi="宋体" w:eastAsia="宋体" w:cs="宋体"/>
                <w:color w:val="000000"/>
                <w:kern w:val="0"/>
                <w:sz w:val="21"/>
                <w:szCs w:val="21"/>
                <w:highlight w:val="none"/>
                <w:lang w:val="en-US" w:eastAsia="zh-CN" w:bidi="ar-SA"/>
              </w:rPr>
              <w:t>12</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12</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宋体"/>
                <w:color w:val="000000"/>
                <w:kern w:val="0"/>
                <w:szCs w:val="21"/>
                <w:highlight w:val="none"/>
              </w:rPr>
            </w:pPr>
          </w:p>
        </w:tc>
        <w:tc>
          <w:tcPr>
            <w:tcW w:w="695" w:type="dxa"/>
            <w:vMerge w:val="continue"/>
            <w:noWrap w:val="0"/>
            <w:vAlign w:val="top"/>
          </w:tcPr>
          <w:p>
            <w:pPr>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59</w:t>
            </w:r>
            <w:r>
              <w:rPr>
                <w:rFonts w:hint="eastAsia" w:ascii="宋体" w:hAnsi="宋体" w:eastAsia="宋体" w:cs="宋体"/>
                <w:color w:val="000000"/>
                <w:kern w:val="0"/>
                <w:szCs w:val="21"/>
                <w:highlight w:val="none"/>
              </w:rPr>
              <w:t>.强化医院公共卫生责任</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二级以上医疗机构设置公共卫生科并配备公共卫生医师。制定医疗机构公共卫生责任清单。</w:t>
            </w:r>
          </w:p>
        </w:tc>
        <w:tc>
          <w:tcPr>
            <w:tcW w:w="3095"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查阅资料：</w:t>
            </w:r>
            <w:r>
              <w:rPr>
                <w:rFonts w:hint="eastAsia" w:ascii="宋体" w:hAnsi="宋体" w:eastAsia="宋体" w:cs="宋体"/>
                <w:color w:val="000000"/>
                <w:kern w:val="0"/>
                <w:szCs w:val="21"/>
                <w:highlight w:val="none"/>
              </w:rPr>
              <w:t>医院公共卫生工作相关资料</w:t>
            </w:r>
            <w:r>
              <w:rPr>
                <w:rFonts w:ascii="宋体" w:hAnsi="宋体" w:eastAsia="宋体" w:cs="宋体"/>
                <w:color w:val="000000"/>
                <w:kern w:val="0"/>
                <w:szCs w:val="21"/>
                <w:highlight w:val="none"/>
              </w:rPr>
              <w:t>。</w:t>
            </w:r>
          </w:p>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资料来源：卫生健康部门。</w:t>
            </w:r>
          </w:p>
        </w:tc>
        <w:tc>
          <w:tcPr>
            <w:tcW w:w="5836" w:type="dxa"/>
            <w:noWrap w:val="0"/>
            <w:vAlign w:val="top"/>
          </w:tcPr>
          <w:p>
            <w:pPr>
              <w:widowControl w:val="0"/>
              <w:ind w:firstLine="0" w:firstLineChars="0"/>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1.辖区二级以上医疗机构设置公共卫生科并配备公共卫生医师，得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分；部分设立，得</w:t>
            </w:r>
            <w:r>
              <w:rPr>
                <w:rFonts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分；未设立</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val="0"/>
              <w:ind w:firstLine="0" w:firstLineChars="0"/>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2.制定医疗机构公共卫生责任清单，得</w:t>
            </w:r>
            <w:r>
              <w:rPr>
                <w:rFonts w:ascii="宋体" w:hAnsi="宋体" w:eastAsia="宋体" w:cs="宋体"/>
                <w:color w:val="000000"/>
                <w:kern w:val="0"/>
                <w:sz w:val="21"/>
                <w:szCs w:val="21"/>
                <w:highlight w:val="none"/>
                <w:lang w:val="en-US" w:eastAsia="zh-CN" w:bidi="ar-SA"/>
              </w:rPr>
              <w:t>4</w:t>
            </w:r>
            <w:r>
              <w:rPr>
                <w:rFonts w:hint="eastAsia" w:ascii="宋体" w:hAnsi="宋体" w:eastAsia="宋体" w:cs="宋体"/>
                <w:color w:val="000000"/>
                <w:kern w:val="0"/>
                <w:sz w:val="21"/>
                <w:szCs w:val="21"/>
                <w:highlight w:val="none"/>
                <w:lang w:val="en-US" w:eastAsia="zh-CN" w:bidi="ar-SA"/>
              </w:rPr>
              <w:t>分；未制定</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val="0"/>
              <w:ind w:firstLine="0" w:firstLineChars="0"/>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w:t>
            </w: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69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ascii="宋体" w:hAnsi="宋体" w:eastAsia="宋体" w:cs="宋体"/>
                <w:color w:val="000000"/>
                <w:kern w:val="0"/>
                <w:sz w:val="21"/>
                <w:szCs w:val="21"/>
                <w:highlight w:val="none"/>
                <w:lang w:val="en-US" w:eastAsia="zh-CN" w:bidi="ar-SA"/>
              </w:rPr>
              <w:t>8</w:t>
            </w:r>
            <w:r>
              <w:rPr>
                <w:rFonts w:hint="eastAsia" w:ascii="宋体" w:hAnsi="宋体" w:eastAsia="宋体" w:cs="宋体"/>
                <w:color w:val="000000"/>
                <w:kern w:val="0"/>
                <w:sz w:val="21"/>
                <w:szCs w:val="21"/>
                <w:highlight w:val="none"/>
                <w:lang w:val="en-US" w:eastAsia="zh-CN" w:bidi="ar-SA"/>
              </w:rPr>
              <w:t>分</w:t>
            </w:r>
          </w:p>
        </w:tc>
        <w:tc>
          <w:tcPr>
            <w:tcW w:w="900" w:type="dxa"/>
            <w:vMerge w:val="continue"/>
            <w:noWrap w:val="0"/>
            <w:vAlign w:val="top"/>
          </w:tcPr>
          <w:p>
            <w:pPr>
              <w:widowControl/>
              <w:jc w:val="both"/>
              <w:rPr>
                <w:rFonts w:ascii="宋体" w:hAnsi="宋体" w:eastAsia="宋体" w:cs="宋体"/>
                <w:color w:val="000000"/>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lang w:val="en-US" w:eastAsia="zh-CN"/>
              </w:rPr>
              <w:t>0</w:t>
            </w:r>
            <w:r>
              <w:rPr>
                <w:rFonts w:hint="eastAsia" w:ascii="宋体" w:hAnsi="宋体" w:eastAsia="宋体" w:cs="宋体"/>
                <w:color w:val="000000"/>
                <w:kern w:val="0"/>
                <w:szCs w:val="21"/>
                <w:highlight w:val="none"/>
              </w:rPr>
              <w:t>.突发公共卫生事件和重大疫情防控联防联控机制</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县区建立突发公共卫生事件和重大疫情联防联控机制，明确政府、相关部门和单位在突发公共卫生事件和重大疫情应对中的职责和任务，建立完善协同工作机制。</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查阅资料：联防联控机制相关</w:t>
            </w:r>
            <w:r>
              <w:rPr>
                <w:rFonts w:hint="eastAsia" w:ascii="宋体" w:hAnsi="宋体" w:eastAsia="宋体" w:cs="宋体"/>
                <w:color w:val="000000"/>
                <w:kern w:val="0"/>
                <w:szCs w:val="21"/>
                <w:highlight w:val="none"/>
                <w:lang w:val="en-US" w:eastAsia="zh-CN"/>
              </w:rPr>
              <w:t>资料</w:t>
            </w:r>
            <w:r>
              <w:rPr>
                <w:rFonts w:hint="eastAsia" w:ascii="宋体" w:hAnsi="宋体" w:eastAsia="宋体" w:cs="宋体"/>
                <w:color w:val="000000"/>
                <w:kern w:val="0"/>
                <w:szCs w:val="21"/>
                <w:highlight w:val="none"/>
              </w:rPr>
              <w:t>。</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w:t>
            </w:r>
            <w:r>
              <w:rPr>
                <w:rFonts w:hint="eastAsia" w:ascii="宋体" w:hAnsi="宋体" w:eastAsia="宋体" w:cs="宋体"/>
                <w:color w:val="000000"/>
                <w:kern w:val="0"/>
                <w:szCs w:val="21"/>
                <w:highlight w:val="none"/>
                <w:lang w:val="en-US" w:eastAsia="zh-CN"/>
              </w:rPr>
              <w:t>文件印发部门</w:t>
            </w:r>
            <w:r>
              <w:rPr>
                <w:rFonts w:hint="eastAsia" w:ascii="宋体" w:hAnsi="宋体" w:eastAsia="宋体" w:cs="宋体"/>
                <w:color w:val="000000"/>
                <w:kern w:val="0"/>
                <w:szCs w:val="21"/>
                <w:highlight w:val="none"/>
              </w:rPr>
              <w:t>、企事业单位等。</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1.建立突发公共卫生事件和重大疫情联防联控机制，得6分；未建立</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2.明确政府、相关部门和单位在突发公共卫生事件和重大疫情应对中的职责和任务，得</w:t>
            </w: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rPr>
              <w:t>分；未明确</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该指标满分为10分。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10分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lang w:val="en-US" w:eastAsia="zh-CN"/>
              </w:rPr>
              <w:t>1</w:t>
            </w:r>
            <w:r>
              <w:rPr>
                <w:rFonts w:hint="eastAsia" w:ascii="宋体" w:hAnsi="宋体" w:eastAsia="宋体" w:cs="宋体"/>
                <w:color w:val="000000"/>
                <w:kern w:val="0"/>
                <w:szCs w:val="21"/>
                <w:highlight w:val="none"/>
              </w:rPr>
              <w:t>.重大传染病防控应急处置预案</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县区组织制定属地重大传染病防控方案和应急处置预案，开展应急培训和实战演练，做好人员设施设备和物资储备。</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查阅资料：应急预案、技术方案、演习和培训记录等。</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w:t>
            </w:r>
            <w:r>
              <w:rPr>
                <w:rFonts w:hint="eastAsia" w:ascii="宋体" w:hAnsi="宋体" w:eastAsia="宋体" w:cs="宋体"/>
                <w:color w:val="000000"/>
                <w:kern w:val="0"/>
                <w:szCs w:val="21"/>
                <w:highlight w:val="none"/>
                <w:lang w:val="en-US" w:eastAsia="zh-CN"/>
              </w:rPr>
              <w:t>相关部门</w:t>
            </w:r>
            <w:r>
              <w:rPr>
                <w:rFonts w:hint="eastAsia" w:ascii="宋体" w:hAnsi="宋体" w:eastAsia="宋体" w:cs="宋体"/>
                <w:color w:val="000000"/>
                <w:kern w:val="0"/>
                <w:szCs w:val="21"/>
                <w:highlight w:val="none"/>
              </w:rPr>
              <w:t>。</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1.有应急预案，得</w:t>
            </w: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rPr>
              <w:t>分；</w:t>
            </w:r>
            <w:r>
              <w:rPr>
                <w:rFonts w:hint="eastAsia" w:ascii="宋体" w:hAnsi="宋体" w:cs="宋体"/>
                <w:color w:val="000000"/>
                <w:kern w:val="0"/>
                <w:szCs w:val="21"/>
                <w:highlight w:val="none"/>
                <w:lang w:val="en-US" w:eastAsia="zh-CN"/>
              </w:rPr>
              <w:t>无预案</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2.过去1年开展过至少1次应急培训，得3分；未开展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3.过去1年开展过至少1次实战演练，得3分；未开展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该指标满分为10分。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10分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lang w:val="en-US" w:eastAsia="zh-CN"/>
              </w:rPr>
              <w:t>2</w:t>
            </w:r>
            <w:r>
              <w:rPr>
                <w:rFonts w:hint="eastAsia" w:ascii="宋体" w:hAnsi="宋体" w:eastAsia="宋体" w:cs="宋体"/>
                <w:color w:val="000000"/>
                <w:kern w:val="0"/>
                <w:szCs w:val="21"/>
                <w:highlight w:val="none"/>
              </w:rPr>
              <w:t>.急救能力建设</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县区规划和实施辖区内院前医疗急救体系建设；定期开展重点行业人群急救知识与技能培训；向公众普及心肺复苏等急救技能，提高公众</w:t>
            </w:r>
            <w:r>
              <w:rPr>
                <w:rFonts w:ascii="宋体" w:hAnsi="宋体" w:eastAsia="宋体" w:cs="宋体"/>
                <w:color w:val="000000"/>
                <w:kern w:val="0"/>
                <w:szCs w:val="21"/>
                <w:highlight w:val="none"/>
              </w:rPr>
              <w:t>急救能力。</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查阅资料：急救能力建设相关</w:t>
            </w:r>
            <w:r>
              <w:rPr>
                <w:rFonts w:hint="default" w:ascii="宋体" w:hAnsi="宋体" w:eastAsia="宋体" w:cs="宋体"/>
                <w:color w:val="000000"/>
                <w:kern w:val="0"/>
                <w:szCs w:val="21"/>
                <w:highlight w:val="none"/>
                <w:lang w:val="en-US"/>
              </w:rPr>
              <w:t>文件、方案、培训记录等</w:t>
            </w:r>
            <w:r>
              <w:rPr>
                <w:rFonts w:hint="eastAsia" w:ascii="宋体" w:hAnsi="宋体" w:eastAsia="宋体" w:cs="宋体"/>
                <w:color w:val="000000"/>
                <w:kern w:val="0"/>
                <w:szCs w:val="21"/>
                <w:highlight w:val="none"/>
              </w:rPr>
              <w:t>。</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w:t>
            </w:r>
            <w:r>
              <w:rPr>
                <w:rFonts w:hint="eastAsia" w:ascii="宋体" w:hAnsi="宋体" w:cs="宋体"/>
                <w:color w:val="000000"/>
                <w:kern w:val="0"/>
                <w:szCs w:val="21"/>
                <w:highlight w:val="none"/>
                <w:lang w:val="en-US" w:eastAsia="zh-CN"/>
              </w:rPr>
              <w:t>卫生健康</w:t>
            </w:r>
            <w:r>
              <w:rPr>
                <w:rFonts w:hint="eastAsia" w:ascii="宋体" w:hAnsi="宋体" w:eastAsia="宋体" w:cs="宋体"/>
                <w:color w:val="000000"/>
                <w:kern w:val="0"/>
                <w:szCs w:val="21"/>
                <w:highlight w:val="none"/>
              </w:rPr>
              <w:t>及相关部门等。</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1.制定辖区院前医疗急救体系建设规划、实施方案等，得</w:t>
            </w:r>
            <w:r>
              <w:rPr>
                <w:rFonts w:ascii="宋体" w:hAnsi="宋体" w:eastAsia="宋体" w:cs="宋体"/>
                <w:color w:val="000000"/>
                <w:kern w:val="0"/>
                <w:szCs w:val="21"/>
                <w:highlight w:val="none"/>
              </w:rPr>
              <w:t>4</w:t>
            </w:r>
            <w:r>
              <w:rPr>
                <w:rFonts w:hint="eastAsia" w:ascii="宋体" w:hAnsi="宋体" w:eastAsia="宋体" w:cs="宋体"/>
                <w:color w:val="000000"/>
                <w:kern w:val="0"/>
                <w:szCs w:val="21"/>
                <w:highlight w:val="none"/>
              </w:rPr>
              <w:t>分；未制定</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2.过去1年中开展过重点行业人群急救知识与技能培训，得3分；未开展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3.向公众普及心肺复苏等急救技能，得3分；未开展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该指标满分为10分。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10分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第二十四条</w:t>
            </w: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lang w:val="en-US" w:eastAsia="zh-CN"/>
              </w:rPr>
              <w:t>3</w:t>
            </w:r>
            <w:r>
              <w:rPr>
                <w:rFonts w:hint="eastAsia" w:ascii="宋体" w:hAnsi="宋体" w:eastAsia="宋体" w:cs="宋体"/>
                <w:color w:val="000000"/>
                <w:kern w:val="0"/>
                <w:szCs w:val="21"/>
                <w:highlight w:val="none"/>
              </w:rPr>
              <w:t>.基层健康教育服务项目</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落实国家基本公共卫生服务健康教育项目和健康素养促进项目，面向城乡居民普及健康知识和技能，倡导健康生活方式。</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现场抽查：随机抽取1家社区卫生服务中心和1家乡镇卫生院，查阅资料，了解国家基本公共卫生服务健康教育项目执行情况。</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在抽查的社区卫生服务中心和乡镇卫生院中，能够按照基本公共卫生服务规范实施健康教育项目，得7分；未规范实施，得4分；未实施</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不得分；2家抽查单位满分为14分。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14分</w:t>
            </w:r>
          </w:p>
        </w:tc>
        <w:tc>
          <w:tcPr>
            <w:tcW w:w="900" w:type="dxa"/>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6</w:t>
            </w:r>
            <w:r>
              <w:rPr>
                <w:rFonts w:hint="eastAsia" w:ascii="宋体" w:hAnsi="宋体" w:eastAsia="宋体" w:cs="宋体"/>
                <w:color w:val="000000"/>
                <w:kern w:val="0"/>
                <w:szCs w:val="21"/>
                <w:highlight w:val="none"/>
                <w:lang w:val="en-US" w:eastAsia="zh-CN"/>
              </w:rPr>
              <w:t>4</w:t>
            </w:r>
            <w:r>
              <w:rPr>
                <w:rFonts w:hint="eastAsia" w:ascii="宋体" w:hAnsi="宋体" w:eastAsia="宋体" w:cs="宋体"/>
                <w:color w:val="000000"/>
                <w:kern w:val="0"/>
                <w:szCs w:val="21"/>
                <w:highlight w:val="none"/>
              </w:rPr>
              <w:t>.健康主题活动</w:t>
            </w:r>
          </w:p>
        </w:tc>
        <w:tc>
          <w:tcPr>
            <w:tcW w:w="2496" w:type="dxa"/>
            <w:noWrap w:val="0"/>
            <w:vAlign w:val="top"/>
          </w:tcPr>
          <w:p>
            <w:pPr>
              <w:widowControl/>
              <w:jc w:val="both"/>
              <w:rPr>
                <w:rFonts w:hint="eastAsia" w:ascii="宋体" w:hAnsi="宋体" w:eastAsia="宋体" w:cs="宋体"/>
                <w:color w:val="000000"/>
                <w:kern w:val="0"/>
                <w:szCs w:val="21"/>
                <w:highlight w:val="none"/>
                <w:lang w:eastAsia="zh-CN"/>
              </w:rPr>
            </w:pPr>
            <w:r>
              <w:rPr>
                <w:rFonts w:ascii="宋体" w:hAnsi="宋体" w:eastAsia="宋体" w:cs="宋体"/>
                <w:color w:val="000000"/>
                <w:kern w:val="0"/>
                <w:szCs w:val="21"/>
                <w:highlight w:val="none"/>
              </w:rPr>
              <w:t>结合卫生健康相关节日</w:t>
            </w:r>
            <w:r>
              <w:rPr>
                <w:rFonts w:hint="eastAsia" w:ascii="宋体" w:hAnsi="宋体" w:eastAsia="宋体" w:cs="宋体"/>
                <w:color w:val="000000"/>
                <w:kern w:val="0"/>
                <w:szCs w:val="21"/>
                <w:highlight w:val="none"/>
              </w:rPr>
              <w:t>、</w:t>
            </w:r>
            <w:r>
              <w:rPr>
                <w:rFonts w:ascii="宋体" w:hAnsi="宋体" w:eastAsia="宋体" w:cs="宋体"/>
                <w:color w:val="000000"/>
                <w:kern w:val="0"/>
                <w:szCs w:val="21"/>
                <w:highlight w:val="none"/>
              </w:rPr>
              <w:t>纪念日或者</w:t>
            </w:r>
            <w:r>
              <w:rPr>
                <w:rFonts w:hint="eastAsia" w:ascii="宋体" w:hAnsi="宋体" w:eastAsia="宋体" w:cs="宋体"/>
                <w:color w:val="000000"/>
                <w:kern w:val="0"/>
                <w:szCs w:val="21"/>
                <w:highlight w:val="none"/>
              </w:rPr>
              <w:t>卫生健康重点工作</w:t>
            </w:r>
            <w:r>
              <w:rPr>
                <w:rFonts w:ascii="宋体" w:hAnsi="宋体" w:eastAsia="宋体" w:cs="宋体"/>
                <w:color w:val="000000"/>
                <w:kern w:val="0"/>
                <w:szCs w:val="21"/>
                <w:highlight w:val="none"/>
              </w:rPr>
              <w:t>，开展多部门参与的、有媒体深入宣传的健康主题活动，</w:t>
            </w:r>
            <w:r>
              <w:rPr>
                <w:rFonts w:hint="eastAsia" w:ascii="宋体" w:hAnsi="宋体" w:eastAsia="宋体" w:cs="宋体"/>
                <w:color w:val="000000"/>
                <w:kern w:val="0"/>
                <w:sz w:val="21"/>
                <w:szCs w:val="21"/>
                <w:highlight w:val="none"/>
              </w:rPr>
              <w:t>因地制宜</w:t>
            </w:r>
            <w:r>
              <w:rPr>
                <w:rFonts w:hint="default" w:ascii="宋体" w:hAnsi="宋体" w:eastAsia="宋体" w:cs="宋体"/>
                <w:color w:val="000000"/>
                <w:kern w:val="0"/>
                <w:sz w:val="21"/>
                <w:szCs w:val="21"/>
                <w:highlight w:val="none"/>
              </w:rPr>
              <w:t>建设</w:t>
            </w:r>
            <w:r>
              <w:rPr>
                <w:rFonts w:hint="eastAsia" w:ascii="宋体" w:hAnsi="宋体" w:eastAsia="宋体" w:cs="宋体"/>
                <w:color w:val="000000"/>
                <w:kern w:val="0"/>
                <w:sz w:val="21"/>
                <w:szCs w:val="21"/>
                <w:highlight w:val="none"/>
              </w:rPr>
              <w:t>健康小屋</w:t>
            </w:r>
            <w:r>
              <w:rPr>
                <w:rFonts w:hint="default" w:ascii="宋体" w:hAnsi="宋体" w:eastAsia="宋体" w:cs="宋体"/>
                <w:color w:val="000000"/>
                <w:kern w:val="0"/>
                <w:sz w:val="21"/>
                <w:szCs w:val="21"/>
                <w:highlight w:val="none"/>
              </w:rPr>
              <w:t>，</w:t>
            </w:r>
            <w:r>
              <w:rPr>
                <w:rFonts w:hint="eastAsia" w:ascii="宋体" w:hAnsi="宋体" w:eastAsia="宋体" w:cs="宋体"/>
                <w:color w:val="000000"/>
                <w:kern w:val="0"/>
                <w:szCs w:val="21"/>
                <w:highlight w:val="none"/>
              </w:rPr>
              <w:t>普及健康知识和技能，努力营造良好</w:t>
            </w:r>
            <w:r>
              <w:rPr>
                <w:rFonts w:ascii="宋体" w:hAnsi="宋体" w:eastAsia="宋体" w:cs="宋体"/>
                <w:color w:val="000000"/>
                <w:kern w:val="0"/>
                <w:szCs w:val="21"/>
                <w:highlight w:val="none"/>
              </w:rPr>
              <w:t>的健康氛围。</w:t>
            </w:r>
          </w:p>
        </w:tc>
        <w:tc>
          <w:tcPr>
            <w:tcW w:w="3095" w:type="dxa"/>
            <w:noWrap w:val="0"/>
            <w:vAlign w:val="top"/>
          </w:tcPr>
          <w:p>
            <w:pPr>
              <w:widowControl/>
              <w:jc w:val="both"/>
              <w:rPr>
                <w:rFonts w:hint="eastAsia" w:ascii="宋体" w:hAnsi="宋体" w:eastAsia="宋体" w:cs="宋体"/>
                <w:color w:val="000000"/>
                <w:kern w:val="0"/>
                <w:szCs w:val="21"/>
                <w:highlight w:val="none"/>
              </w:rPr>
            </w:pPr>
            <w:r>
              <w:rPr>
                <w:rFonts w:hint="eastAsia" w:ascii="宋体" w:hAnsi="宋体" w:cs="宋体"/>
                <w:color w:val="000000"/>
                <w:kern w:val="0"/>
                <w:szCs w:val="21"/>
                <w:highlight w:val="none"/>
                <w:lang w:val="en-US" w:eastAsia="zh-CN"/>
              </w:rPr>
              <w:t>查阅资料</w:t>
            </w:r>
            <w:r>
              <w:rPr>
                <w:rFonts w:hint="eastAsia" w:ascii="宋体" w:hAnsi="宋体" w:eastAsia="宋体" w:cs="宋体"/>
                <w:color w:val="000000"/>
                <w:kern w:val="0"/>
                <w:szCs w:val="21"/>
                <w:highlight w:val="none"/>
              </w:rPr>
              <w:t>：随机抽取2次健康主题活动的材料，了解活动开展情况。</w:t>
            </w:r>
          </w:p>
          <w:p>
            <w:pPr>
              <w:widowControl/>
              <w:jc w:val="both"/>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资料来源：卫生健康等部门。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针对被抽查的健康主题活动；</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1.多部门联合举办，得3分；仅1个部门主办，得</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分。</w:t>
            </w:r>
          </w:p>
          <w:p>
            <w:pPr>
              <w:widowControl/>
              <w:jc w:val="both"/>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2.有媒体参与，得3分；</w:t>
            </w:r>
            <w:r>
              <w:rPr>
                <w:rFonts w:hint="eastAsia" w:ascii="宋体" w:hAnsi="宋体" w:cs="宋体"/>
                <w:color w:val="000000"/>
                <w:kern w:val="0"/>
                <w:szCs w:val="21"/>
                <w:highlight w:val="none"/>
                <w:lang w:val="en-US" w:eastAsia="zh-CN"/>
              </w:rPr>
              <w:t>无媒体参与，</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2次活动满分为12分；未开展健康主题活动，不得分。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12分</w:t>
            </w:r>
          </w:p>
        </w:tc>
        <w:tc>
          <w:tcPr>
            <w:tcW w:w="900" w:type="dxa"/>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6</w:t>
            </w:r>
            <w:r>
              <w:rPr>
                <w:rFonts w:hint="eastAsia" w:ascii="宋体" w:hAnsi="宋体" w:eastAsia="宋体" w:cs="宋体"/>
                <w:color w:val="000000"/>
                <w:kern w:val="0"/>
                <w:szCs w:val="21"/>
                <w:highlight w:val="none"/>
                <w:lang w:val="en-US" w:eastAsia="zh-CN"/>
              </w:rPr>
              <w:t>5</w:t>
            </w:r>
            <w:r>
              <w:rPr>
                <w:rFonts w:hint="eastAsia" w:ascii="宋体" w:hAnsi="宋体" w:eastAsia="宋体" w:cs="宋体"/>
                <w:color w:val="000000"/>
                <w:kern w:val="0"/>
                <w:szCs w:val="21"/>
                <w:highlight w:val="none"/>
              </w:rPr>
              <w:t>.提升居民健康素养水平</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使用国家统一的监测方案和问卷开展辖区居民健康素养监测，</w:t>
            </w:r>
            <w:r>
              <w:rPr>
                <w:rFonts w:hint="default" w:ascii="宋体" w:hAnsi="宋体" w:eastAsia="宋体" w:cs="宋体"/>
                <w:color w:val="000000"/>
                <w:kern w:val="0"/>
                <w:sz w:val="21"/>
                <w:szCs w:val="21"/>
                <w:highlight w:val="none"/>
              </w:rPr>
              <w:t>且相关统计调查工作经本级统计部门审核同意；</w:t>
            </w:r>
            <w:r>
              <w:rPr>
                <w:rFonts w:hint="eastAsia" w:ascii="宋体" w:hAnsi="宋体" w:eastAsia="宋体" w:cs="宋体"/>
                <w:color w:val="000000"/>
                <w:kern w:val="0"/>
                <w:szCs w:val="21"/>
                <w:highlight w:val="none"/>
              </w:rPr>
              <w:t>健康素养水平不断提升。</w:t>
            </w:r>
          </w:p>
        </w:tc>
        <w:tc>
          <w:tcPr>
            <w:tcW w:w="3095"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查阅资料：健康素养监测相关资料。</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资料来源：健康教育专业机构。</w:t>
            </w:r>
          </w:p>
        </w:tc>
        <w:tc>
          <w:tcPr>
            <w:tcW w:w="5836" w:type="dxa"/>
            <w:noWrap w:val="0"/>
            <w:vAlign w:val="top"/>
          </w:tcPr>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1.有监测方案，得</w:t>
            </w:r>
            <w:r>
              <w:rPr>
                <w:rFonts w:hint="default"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分；无方案</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2.有培训相关资料，得</w:t>
            </w:r>
            <w:r>
              <w:rPr>
                <w:rFonts w:hint="default" w:ascii="宋体" w:hAnsi="宋体" w:eastAsia="宋体" w:cs="宋体"/>
                <w:color w:val="000000"/>
                <w:kern w:val="0"/>
                <w:sz w:val="21"/>
                <w:szCs w:val="21"/>
                <w:highlight w:val="none"/>
                <w:lang w:val="en-US" w:eastAsia="zh-CN" w:bidi="ar-SA"/>
              </w:rPr>
              <w:t>2</w:t>
            </w:r>
            <w:r>
              <w:rPr>
                <w:rFonts w:hint="eastAsia" w:ascii="宋体" w:hAnsi="宋体" w:eastAsia="宋体" w:cs="宋体"/>
                <w:color w:val="000000"/>
                <w:kern w:val="0"/>
                <w:sz w:val="21"/>
                <w:szCs w:val="21"/>
                <w:highlight w:val="none"/>
                <w:lang w:val="en-US" w:eastAsia="zh-CN" w:bidi="ar-SA"/>
              </w:rPr>
              <w:t>分；未培训</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3.有原始数据库，得3分；无数据库</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4.有监测报告，得3分；无报告</w:t>
            </w:r>
            <w:r>
              <w:rPr>
                <w:rFonts w:hint="eastAsia" w:ascii="宋体" w:hAnsi="宋体" w:cs="宋体"/>
                <w:color w:val="000000"/>
                <w:kern w:val="0"/>
                <w:sz w:val="21"/>
                <w:szCs w:val="21"/>
                <w:highlight w:val="none"/>
                <w:lang w:val="en-US" w:eastAsia="zh-CN" w:bidi="ar-SA"/>
              </w:rPr>
              <w:t>，</w:t>
            </w:r>
            <w:r>
              <w:rPr>
                <w:rFonts w:hint="eastAsia" w:ascii="宋体" w:hAnsi="宋体" w:eastAsia="宋体" w:cs="宋体"/>
                <w:color w:val="000000"/>
                <w:kern w:val="0"/>
                <w:sz w:val="21"/>
                <w:szCs w:val="21"/>
                <w:highlight w:val="none"/>
                <w:lang w:val="en-US" w:eastAsia="zh-CN" w:bidi="ar-SA"/>
              </w:rPr>
              <w:t>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5.健康素养水平高于本省平均水平，或近3年呈上升趋势，得</w:t>
            </w:r>
            <w:r>
              <w:rPr>
                <w:rFonts w:hint="default" w:ascii="宋体" w:hAnsi="宋体" w:eastAsia="宋体" w:cs="宋体"/>
                <w:color w:val="000000"/>
                <w:kern w:val="0"/>
                <w:sz w:val="21"/>
                <w:szCs w:val="21"/>
                <w:highlight w:val="none"/>
                <w:lang w:val="en-US" w:eastAsia="zh-CN" w:bidi="ar-SA"/>
              </w:rPr>
              <w:t>6</w:t>
            </w:r>
            <w:r>
              <w:rPr>
                <w:rFonts w:hint="eastAsia" w:ascii="宋体" w:hAnsi="宋体" w:eastAsia="宋体" w:cs="宋体"/>
                <w:color w:val="000000"/>
                <w:kern w:val="0"/>
                <w:sz w:val="21"/>
                <w:szCs w:val="21"/>
                <w:highlight w:val="none"/>
                <w:lang w:val="en-US" w:eastAsia="zh-CN" w:bidi="ar-SA"/>
              </w:rPr>
              <w:t>分；低于本省平均水平或近3年呈下降趋势，不得分。</w:t>
            </w:r>
          </w:p>
          <w:p>
            <w:pPr>
              <w:widowControl/>
              <w:jc w:val="both"/>
              <w:rPr>
                <w:rFonts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该指标满分为</w:t>
            </w:r>
            <w:r>
              <w:rPr>
                <w:rFonts w:hint="default" w:ascii="宋体" w:hAnsi="宋体" w:eastAsia="宋体" w:cs="宋体"/>
                <w:color w:val="000000"/>
                <w:kern w:val="0"/>
                <w:sz w:val="21"/>
                <w:szCs w:val="21"/>
                <w:highlight w:val="none"/>
                <w:lang w:val="en-US" w:eastAsia="zh-CN" w:bidi="ar-SA"/>
              </w:rPr>
              <w:t>1</w:t>
            </w:r>
            <w:r>
              <w:rPr>
                <w:rFonts w:hint="eastAsia" w:ascii="宋体" w:hAnsi="宋体" w:eastAsia="宋体" w:cs="宋体"/>
                <w:color w:val="000000"/>
                <w:kern w:val="0"/>
                <w:sz w:val="21"/>
                <w:szCs w:val="21"/>
                <w:highlight w:val="none"/>
                <w:lang w:val="en-US" w:eastAsia="zh-CN" w:bidi="ar-SA"/>
              </w:rPr>
              <w:t>6分。</w:t>
            </w:r>
          </w:p>
        </w:tc>
        <w:tc>
          <w:tcPr>
            <w:tcW w:w="696" w:type="dxa"/>
            <w:noWrap w:val="0"/>
            <w:vAlign w:val="top"/>
          </w:tcPr>
          <w:p>
            <w:pPr>
              <w:widowControl/>
              <w:spacing w:line="400" w:lineRule="atLeast"/>
              <w:jc w:val="both"/>
              <w:rPr>
                <w:rFonts w:ascii="宋体" w:hAnsi="宋体" w:eastAsia="宋体" w:cs="Times New Roman"/>
                <w:szCs w:val="21"/>
                <w:highlight w:val="none"/>
              </w:rPr>
            </w:pPr>
            <w:r>
              <w:rPr>
                <w:rFonts w:hint="eastAsia" w:ascii="宋体" w:hAnsi="宋体" w:eastAsia="宋体" w:cs="宋体"/>
                <w:color w:val="000000"/>
                <w:kern w:val="0"/>
                <w:szCs w:val="21"/>
                <w:highlight w:val="none"/>
              </w:rPr>
              <w:t>1</w:t>
            </w:r>
            <w:r>
              <w:rPr>
                <w:rFonts w:hint="eastAsia" w:ascii="宋体" w:hAnsi="宋体" w:eastAsia="宋体" w:cs="宋体"/>
                <w:color w:val="000000"/>
                <w:kern w:val="0"/>
                <w:szCs w:val="21"/>
                <w:highlight w:val="none"/>
                <w:lang w:val="en-US" w:eastAsia="zh-CN"/>
              </w:rPr>
              <w:t>6</w:t>
            </w:r>
            <w:r>
              <w:rPr>
                <w:rFonts w:hint="eastAsia" w:ascii="宋体" w:hAnsi="宋体" w:eastAsia="宋体" w:cs="宋体"/>
                <w:color w:val="000000"/>
                <w:kern w:val="0"/>
                <w:szCs w:val="21"/>
                <w:highlight w:val="none"/>
              </w:rPr>
              <w:t>分</w:t>
            </w:r>
          </w:p>
        </w:tc>
        <w:tc>
          <w:tcPr>
            <w:tcW w:w="900" w:type="dxa"/>
            <w:noWrap w:val="0"/>
            <w:vAlign w:val="top"/>
          </w:tcPr>
          <w:p>
            <w:pPr>
              <w:widowControl/>
              <w:jc w:val="both"/>
              <w:rPr>
                <w:rFonts w:hint="eastAsia"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rPr>
              <w:t>第二十五条</w:t>
            </w:r>
          </w:p>
        </w:tc>
        <w:tc>
          <w:tcPr>
            <w:tcW w:w="968"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lang w:val="en-US" w:eastAsia="zh-CN"/>
              </w:rPr>
              <w:t>66</w:t>
            </w:r>
            <w:r>
              <w:rPr>
                <w:rFonts w:hint="eastAsia" w:ascii="宋体" w:hAnsi="宋体" w:eastAsia="宋体" w:cs="仿宋"/>
                <w:kern w:val="0"/>
                <w:szCs w:val="21"/>
                <w:highlight w:val="none"/>
              </w:rPr>
              <w:t>.健康教育纳入医疗卫生机构绩效考核</w:t>
            </w:r>
          </w:p>
        </w:tc>
        <w:tc>
          <w:tcPr>
            <w:tcW w:w="2496"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rPr>
              <w:t>县区卫生健康行政部门将健康教育工作纳入各级医疗卫生机构绩效考核，纳入医务人员日常业务考核以及评先评优、职称晋升的考核内容。</w:t>
            </w:r>
          </w:p>
        </w:tc>
        <w:tc>
          <w:tcPr>
            <w:tcW w:w="3095"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查阅资料：绩效考核相关资料。</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资料来源：卫生健康行政部门及各级医疗卫生机构等。</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现场抽查:抽取1家县级</w:t>
            </w:r>
            <w:r>
              <w:rPr>
                <w:rFonts w:ascii="宋体" w:hAnsi="宋体" w:eastAsia="宋体" w:cs="宋体"/>
                <w:kern w:val="0"/>
                <w:sz w:val="21"/>
                <w:szCs w:val="21"/>
                <w:highlight w:val="none"/>
                <w:lang w:val="en-US" w:eastAsia="zh-CN" w:bidi="ar-SA"/>
              </w:rPr>
              <w:t>医院</w:t>
            </w:r>
            <w:r>
              <w:rPr>
                <w:rFonts w:hint="eastAsia" w:ascii="宋体" w:hAnsi="宋体" w:eastAsia="宋体" w:cs="宋体"/>
                <w:kern w:val="0"/>
                <w:sz w:val="21"/>
                <w:szCs w:val="21"/>
                <w:highlight w:val="none"/>
                <w:lang w:val="en-US" w:eastAsia="zh-CN" w:bidi="ar-SA"/>
              </w:rPr>
              <w:t>和1家乡镇卫生院，了解</w:t>
            </w:r>
            <w:r>
              <w:rPr>
                <w:rFonts w:hint="eastAsia" w:ascii="宋体" w:hAnsi="宋体" w:eastAsia="宋体" w:cs="仿宋"/>
                <w:kern w:val="0"/>
                <w:sz w:val="21"/>
                <w:szCs w:val="21"/>
                <w:highlight w:val="none"/>
                <w:lang w:val="en-US" w:eastAsia="zh-CN" w:bidi="ar-SA"/>
              </w:rPr>
              <w:t>将健康教育纳入绩效考核情况。</w:t>
            </w:r>
          </w:p>
        </w:tc>
        <w:tc>
          <w:tcPr>
            <w:tcW w:w="5836"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1.有关于将健康教育纳入医疗卫生机构绩效考核的文件，得</w:t>
            </w:r>
            <w:r>
              <w:rPr>
                <w:rFonts w:ascii="宋体" w:hAnsi="宋体" w:eastAsia="宋体" w:cs="仿宋"/>
                <w:kern w:val="0"/>
                <w:sz w:val="21"/>
                <w:szCs w:val="21"/>
                <w:highlight w:val="none"/>
                <w:lang w:val="en-US" w:eastAsia="zh-CN" w:bidi="ar-SA"/>
              </w:rPr>
              <w:t>4</w:t>
            </w:r>
            <w:r>
              <w:rPr>
                <w:rFonts w:hint="eastAsia" w:ascii="宋体" w:hAnsi="宋体" w:eastAsia="宋体" w:cs="仿宋"/>
                <w:kern w:val="0"/>
                <w:sz w:val="21"/>
                <w:szCs w:val="21"/>
                <w:highlight w:val="none"/>
                <w:lang w:val="en-US" w:eastAsia="zh-CN" w:bidi="ar-SA"/>
              </w:rPr>
              <w:t>分；</w:t>
            </w:r>
            <w:r>
              <w:rPr>
                <w:rFonts w:hint="eastAsia" w:ascii="宋体" w:hAnsi="宋体" w:cs="仿宋"/>
                <w:kern w:val="0"/>
                <w:sz w:val="21"/>
                <w:szCs w:val="21"/>
                <w:highlight w:val="none"/>
                <w:lang w:val="en-US" w:eastAsia="zh-CN" w:bidi="ar-SA"/>
              </w:rPr>
              <w:t>无</w:t>
            </w:r>
            <w:r>
              <w:rPr>
                <w:rFonts w:hint="eastAsia" w:ascii="宋体" w:hAnsi="宋体" w:eastAsia="宋体" w:cs="仿宋"/>
                <w:kern w:val="0"/>
                <w:sz w:val="21"/>
                <w:szCs w:val="21"/>
                <w:highlight w:val="none"/>
                <w:lang w:val="en-US" w:eastAsia="zh-CN" w:bidi="ar-SA"/>
              </w:rPr>
              <w:t>文件</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2.被抽查的县级医院或乡镇卫生院有相关落实制度，得</w:t>
            </w:r>
            <w:r>
              <w:rPr>
                <w:rFonts w:ascii="宋体" w:hAnsi="宋体" w:eastAsia="宋体" w:cs="仿宋"/>
                <w:kern w:val="0"/>
                <w:sz w:val="21"/>
                <w:szCs w:val="21"/>
                <w:highlight w:val="none"/>
                <w:lang w:val="en-US" w:eastAsia="zh-CN" w:bidi="ar-SA"/>
              </w:rPr>
              <w:t>2</w:t>
            </w:r>
            <w:r>
              <w:rPr>
                <w:rFonts w:hint="eastAsia" w:ascii="宋体" w:hAnsi="宋体" w:eastAsia="宋体" w:cs="仿宋"/>
                <w:kern w:val="0"/>
                <w:sz w:val="21"/>
                <w:szCs w:val="21"/>
                <w:highlight w:val="none"/>
                <w:lang w:val="en-US" w:eastAsia="zh-CN" w:bidi="ar-SA"/>
              </w:rPr>
              <w:t>分；</w:t>
            </w:r>
            <w:r>
              <w:rPr>
                <w:rFonts w:hint="eastAsia" w:ascii="宋体" w:hAnsi="宋体" w:cs="仿宋"/>
                <w:kern w:val="0"/>
                <w:sz w:val="21"/>
                <w:szCs w:val="21"/>
                <w:highlight w:val="none"/>
                <w:lang w:val="en-US" w:eastAsia="zh-CN" w:bidi="ar-SA"/>
              </w:rPr>
              <w:t>无落实制度，</w:t>
            </w:r>
            <w:r>
              <w:rPr>
                <w:rFonts w:hint="eastAsia" w:ascii="宋体" w:hAnsi="宋体" w:eastAsia="宋体" w:cs="仿宋"/>
                <w:kern w:val="0"/>
                <w:sz w:val="21"/>
                <w:szCs w:val="21"/>
                <w:highlight w:val="none"/>
                <w:lang w:val="en-US" w:eastAsia="zh-CN" w:bidi="ar-SA"/>
              </w:rPr>
              <w:t>不得分；2家医疗机构满分为</w:t>
            </w:r>
            <w:r>
              <w:rPr>
                <w:rFonts w:ascii="宋体" w:hAnsi="宋体" w:eastAsia="宋体" w:cs="仿宋"/>
                <w:kern w:val="0"/>
                <w:sz w:val="21"/>
                <w:szCs w:val="21"/>
                <w:highlight w:val="none"/>
                <w:lang w:val="en-US" w:eastAsia="zh-CN" w:bidi="ar-SA"/>
              </w:rPr>
              <w:t>4</w:t>
            </w:r>
            <w:r>
              <w:rPr>
                <w:rFonts w:hint="eastAsia" w:ascii="宋体" w:hAnsi="宋体" w:eastAsia="宋体" w:cs="仿宋"/>
                <w:kern w:val="0"/>
                <w:sz w:val="21"/>
                <w:szCs w:val="21"/>
                <w:highlight w:val="none"/>
                <w:lang w:val="en-US" w:eastAsia="zh-CN" w:bidi="ar-SA"/>
              </w:rPr>
              <w:t>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该指标满分为</w:t>
            </w:r>
            <w:r>
              <w:rPr>
                <w:rFonts w:ascii="宋体" w:hAnsi="宋体" w:eastAsia="宋体" w:cs="仿宋"/>
                <w:kern w:val="0"/>
                <w:sz w:val="21"/>
                <w:szCs w:val="21"/>
                <w:highlight w:val="none"/>
                <w:lang w:val="en-US" w:eastAsia="zh-CN" w:bidi="ar-SA"/>
              </w:rPr>
              <w:t>8</w:t>
            </w:r>
            <w:r>
              <w:rPr>
                <w:rFonts w:hint="eastAsia" w:ascii="宋体" w:hAnsi="宋体" w:eastAsia="宋体" w:cs="仿宋"/>
                <w:kern w:val="0"/>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Times New Roman"/>
                <w:szCs w:val="21"/>
                <w:highlight w:val="none"/>
              </w:rPr>
            </w:pPr>
            <w:r>
              <w:rPr>
                <w:rFonts w:ascii="宋体" w:hAnsi="宋体" w:eastAsia="宋体" w:cs="仿宋"/>
                <w:kern w:val="0"/>
                <w:szCs w:val="21"/>
                <w:highlight w:val="none"/>
              </w:rPr>
              <w:t>8</w:t>
            </w:r>
            <w:r>
              <w:rPr>
                <w:rFonts w:hint="eastAsia" w:ascii="宋体" w:hAnsi="宋体" w:eastAsia="宋体" w:cs="仿宋"/>
                <w:kern w:val="0"/>
                <w:szCs w:val="21"/>
                <w:highlight w:val="none"/>
              </w:rPr>
              <w:t>分</w:t>
            </w:r>
          </w:p>
        </w:tc>
        <w:tc>
          <w:tcPr>
            <w:tcW w:w="900" w:type="dxa"/>
            <w:vMerge w:val="restart"/>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cs="宋体"/>
                <w:color w:val="000000"/>
                <w:kern w:val="0"/>
                <w:szCs w:val="21"/>
                <w:highlight w:val="none"/>
                <w:lang w:val="en-US" w:eastAsia="zh-CN"/>
              </w:rPr>
              <w:t>见附录2：3、81、104、105、106、107。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textAlignment w:val="center"/>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lang w:val="en-US" w:eastAsia="zh-CN"/>
              </w:rPr>
              <w:t>67</w:t>
            </w:r>
            <w:r>
              <w:rPr>
                <w:rFonts w:hint="eastAsia" w:ascii="宋体" w:hAnsi="宋体" w:eastAsia="宋体" w:cs="仿宋"/>
                <w:kern w:val="0"/>
                <w:szCs w:val="21"/>
                <w:highlight w:val="none"/>
              </w:rPr>
              <w:t>.患者健康教育服务</w:t>
            </w:r>
          </w:p>
        </w:tc>
        <w:tc>
          <w:tcPr>
            <w:tcW w:w="2496"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rPr>
              <w:t>辖区医疗卫生机构建立完善候诊、门诊、住院、随访等业务工作全周期健康教育工作流程，向患者提供健康教育处方，帮助患者养成有利于健康的行为。</w:t>
            </w:r>
          </w:p>
        </w:tc>
        <w:tc>
          <w:tcPr>
            <w:tcW w:w="3095"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查阅资料：医疗卫生机构相关工作资料。</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资料来源：医疗卫生机构。</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现场抽查:抽取1家县级</w:t>
            </w:r>
            <w:r>
              <w:rPr>
                <w:rFonts w:ascii="宋体" w:hAnsi="宋体" w:eastAsia="宋体" w:cs="宋体"/>
                <w:kern w:val="0"/>
                <w:sz w:val="21"/>
                <w:szCs w:val="21"/>
                <w:highlight w:val="none"/>
                <w:lang w:val="en-US" w:eastAsia="zh-CN" w:bidi="ar-SA"/>
              </w:rPr>
              <w:t>医院</w:t>
            </w:r>
            <w:r>
              <w:rPr>
                <w:rFonts w:hint="eastAsia" w:ascii="宋体" w:hAnsi="宋体" w:eastAsia="宋体" w:cs="宋体"/>
                <w:kern w:val="0"/>
                <w:sz w:val="21"/>
                <w:szCs w:val="21"/>
                <w:highlight w:val="none"/>
                <w:lang w:val="en-US" w:eastAsia="zh-CN" w:bidi="ar-SA"/>
              </w:rPr>
              <w:t>和1家乡镇卫生院，了解健康教育服务提供情况</w:t>
            </w:r>
            <w:r>
              <w:rPr>
                <w:rFonts w:hint="eastAsia" w:ascii="宋体" w:hAnsi="宋体" w:eastAsia="宋体" w:cs="仿宋"/>
                <w:kern w:val="0"/>
                <w:sz w:val="21"/>
                <w:szCs w:val="21"/>
                <w:highlight w:val="none"/>
                <w:lang w:val="en-US" w:eastAsia="zh-CN" w:bidi="ar-SA"/>
              </w:rPr>
              <w:t>。</w:t>
            </w:r>
          </w:p>
        </w:tc>
        <w:tc>
          <w:tcPr>
            <w:tcW w:w="5836"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被抽取的医疗机构中：</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1.有患者健康教育工作流程，得3分；无工作流程</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2.在诊疗中使用健康教育处方，得3分；未使用</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2家医疗机构满分为12分。</w:t>
            </w:r>
          </w:p>
        </w:tc>
        <w:tc>
          <w:tcPr>
            <w:tcW w:w="696" w:type="dxa"/>
            <w:noWrap w:val="0"/>
            <w:vAlign w:val="top"/>
          </w:tcPr>
          <w:p>
            <w:pPr>
              <w:widowControl/>
              <w:spacing w:line="400" w:lineRule="atLeast"/>
              <w:jc w:val="both"/>
              <w:rPr>
                <w:rFonts w:ascii="宋体" w:hAnsi="宋体" w:eastAsia="宋体" w:cs="Times New Roman"/>
                <w:szCs w:val="21"/>
                <w:highlight w:val="none"/>
              </w:rPr>
            </w:pPr>
            <w:r>
              <w:rPr>
                <w:rFonts w:hint="eastAsia" w:ascii="宋体" w:hAnsi="宋体" w:eastAsia="宋体" w:cs="仿宋"/>
                <w:kern w:val="0"/>
                <w:szCs w:val="21"/>
                <w:highlight w:val="none"/>
                <w:lang w:val="en-US" w:eastAsia="zh-CN"/>
              </w:rPr>
              <w:t>12</w:t>
            </w:r>
            <w:r>
              <w:rPr>
                <w:rFonts w:hint="eastAsia" w:ascii="宋体" w:hAnsi="宋体" w:eastAsia="宋体" w:cs="仿宋"/>
                <w:kern w:val="0"/>
                <w:szCs w:val="21"/>
                <w:highlight w:val="none"/>
              </w:rPr>
              <w:t>分</w:t>
            </w:r>
          </w:p>
        </w:tc>
        <w:tc>
          <w:tcPr>
            <w:tcW w:w="900" w:type="dxa"/>
            <w:vMerge w:val="continue"/>
            <w:noWrap w:val="0"/>
            <w:vAlign w:val="top"/>
          </w:tcPr>
          <w:p>
            <w:pPr>
              <w:widowControl/>
              <w:spacing w:line="400" w:lineRule="atLeast"/>
              <w:jc w:val="both"/>
              <w:rPr>
                <w:rFonts w:ascii="宋体" w:hAnsi="宋体" w:eastAsia="宋体" w:cs="仿宋"/>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lang w:val="en-US" w:eastAsia="zh-CN"/>
              </w:rPr>
              <w:t>68</w:t>
            </w:r>
            <w:r>
              <w:rPr>
                <w:rFonts w:ascii="宋体" w:hAnsi="宋体" w:eastAsia="宋体" w:cs="仿宋"/>
                <w:kern w:val="0"/>
                <w:szCs w:val="21"/>
                <w:highlight w:val="none"/>
              </w:rPr>
              <w:t>.</w:t>
            </w:r>
            <w:r>
              <w:rPr>
                <w:rFonts w:hint="eastAsia" w:ascii="宋体" w:hAnsi="宋体" w:eastAsia="宋体" w:cs="仿宋"/>
                <w:kern w:val="0"/>
                <w:szCs w:val="21"/>
                <w:highlight w:val="none"/>
              </w:rPr>
              <w:t>医疗卫生人员开展健康科普</w:t>
            </w:r>
          </w:p>
        </w:tc>
        <w:tc>
          <w:tcPr>
            <w:tcW w:w="2496"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rPr>
              <w:t>建立县域健康科普专家库，定期组织专家深入社区、单位、学校等场所开展健康讲座和健康咨询。鼓励和规范医务人员利用各类媒体开展健康科普。</w:t>
            </w:r>
          </w:p>
        </w:tc>
        <w:tc>
          <w:tcPr>
            <w:tcW w:w="3095"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查阅资料：健康科普专家库及医务人员参与媒体健康科普相关工作资料等。</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资料来源：卫生健康部门。</w:t>
            </w:r>
          </w:p>
        </w:tc>
        <w:tc>
          <w:tcPr>
            <w:tcW w:w="5836"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1.建立县级健康科普专家库，得</w:t>
            </w:r>
            <w:r>
              <w:rPr>
                <w:rFonts w:ascii="宋体" w:hAnsi="宋体" w:eastAsia="宋体" w:cs="仿宋"/>
                <w:kern w:val="0"/>
                <w:sz w:val="21"/>
                <w:szCs w:val="21"/>
                <w:highlight w:val="none"/>
                <w:lang w:val="en-US" w:eastAsia="zh-CN" w:bidi="ar-SA"/>
              </w:rPr>
              <w:t>2</w:t>
            </w:r>
            <w:r>
              <w:rPr>
                <w:rFonts w:hint="eastAsia" w:ascii="宋体" w:hAnsi="宋体" w:eastAsia="宋体" w:cs="仿宋"/>
                <w:kern w:val="0"/>
                <w:sz w:val="21"/>
                <w:szCs w:val="21"/>
                <w:highlight w:val="none"/>
                <w:lang w:val="en-US" w:eastAsia="zh-CN" w:bidi="ar-SA"/>
              </w:rPr>
              <w:t>分；未建立</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2.组织专家深入社区、单位、学校等场所开展健康讲座和健康咨询，有工作记录，得3分；无工作记录</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3.县级出台医务人员参与媒体健康科普的工作制度或规范，得</w:t>
            </w:r>
            <w:r>
              <w:rPr>
                <w:rFonts w:ascii="宋体" w:hAnsi="宋体" w:eastAsia="宋体" w:cs="仿宋"/>
                <w:kern w:val="0"/>
                <w:sz w:val="21"/>
                <w:szCs w:val="21"/>
                <w:highlight w:val="none"/>
                <w:lang w:val="en-US" w:eastAsia="zh-CN" w:bidi="ar-SA"/>
              </w:rPr>
              <w:t>2</w:t>
            </w:r>
            <w:r>
              <w:rPr>
                <w:rFonts w:hint="eastAsia" w:ascii="宋体" w:hAnsi="宋体" w:eastAsia="宋体" w:cs="仿宋"/>
                <w:kern w:val="0"/>
                <w:sz w:val="21"/>
                <w:szCs w:val="21"/>
                <w:highlight w:val="none"/>
                <w:lang w:val="en-US" w:eastAsia="zh-CN" w:bidi="ar-SA"/>
              </w:rPr>
              <w:t>分；无制度或规范</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4.医务人员利用各类媒体开展健康科普，有工作记录</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得3分；未开展或无记录</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该指标满分为</w:t>
            </w:r>
            <w:r>
              <w:rPr>
                <w:rFonts w:ascii="宋体" w:hAnsi="宋体" w:eastAsia="宋体" w:cs="仿宋"/>
                <w:kern w:val="0"/>
                <w:sz w:val="21"/>
                <w:szCs w:val="21"/>
                <w:highlight w:val="none"/>
                <w:lang w:val="en-US" w:eastAsia="zh-CN" w:bidi="ar-SA"/>
              </w:rPr>
              <w:t>10</w:t>
            </w:r>
            <w:r>
              <w:rPr>
                <w:rFonts w:hint="eastAsia" w:ascii="宋体" w:hAnsi="宋体" w:eastAsia="宋体" w:cs="仿宋"/>
                <w:kern w:val="0"/>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Times New Roman"/>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10分</w:t>
            </w:r>
          </w:p>
        </w:tc>
        <w:tc>
          <w:tcPr>
            <w:tcW w:w="900" w:type="dxa"/>
            <w:vMerge w:val="continue"/>
            <w:noWrap w:val="0"/>
            <w:vAlign w:val="top"/>
          </w:tcPr>
          <w:p>
            <w:pPr>
              <w:widowControl/>
              <w:spacing w:line="400" w:lineRule="atLeast"/>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restart"/>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rPr>
              <w:t>第二十六条</w:t>
            </w:r>
          </w:p>
        </w:tc>
        <w:tc>
          <w:tcPr>
            <w:tcW w:w="968"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lang w:val="en-US" w:eastAsia="zh-CN"/>
              </w:rPr>
              <w:t>69</w:t>
            </w:r>
            <w:r>
              <w:rPr>
                <w:rFonts w:hint="eastAsia" w:ascii="宋体" w:hAnsi="宋体" w:eastAsia="宋体" w:cs="仿宋"/>
                <w:kern w:val="0"/>
                <w:szCs w:val="21"/>
                <w:highlight w:val="none"/>
              </w:rPr>
              <w:t>.县级中医医院特色专科建设</w:t>
            </w:r>
          </w:p>
        </w:tc>
        <w:tc>
          <w:tcPr>
            <w:tcW w:w="2496"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rPr>
              <w:t>开展县级中医医院特色专科建设，逐步建立健全适宜技术推广工作机制。</w:t>
            </w:r>
          </w:p>
        </w:tc>
        <w:tc>
          <w:tcPr>
            <w:tcW w:w="3095" w:type="dxa"/>
            <w:noWrap w:val="0"/>
            <w:vAlign w:val="top"/>
          </w:tcPr>
          <w:p>
            <w:pPr>
              <w:widowControl/>
              <w:jc w:val="both"/>
              <w:rPr>
                <w:rFonts w:hint="eastAsia"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查阅资料：各县级中医医院特色专科</w:t>
            </w:r>
            <w:r>
              <w:rPr>
                <w:rFonts w:hint="default" w:ascii="宋体" w:hAnsi="宋体" w:eastAsia="宋体" w:cs="仿宋"/>
                <w:kern w:val="0"/>
                <w:sz w:val="21"/>
                <w:szCs w:val="21"/>
                <w:highlight w:val="none"/>
                <w:lang w:val="en-US" w:eastAsia="zh-CN" w:bidi="ar-SA"/>
              </w:rPr>
              <w:t>建设</w:t>
            </w:r>
            <w:r>
              <w:rPr>
                <w:rFonts w:hint="eastAsia" w:ascii="宋体" w:hAnsi="宋体" w:eastAsia="宋体" w:cs="仿宋"/>
                <w:kern w:val="0"/>
                <w:sz w:val="21"/>
                <w:szCs w:val="21"/>
                <w:highlight w:val="none"/>
                <w:lang w:val="en-US" w:eastAsia="zh-CN" w:bidi="ar-SA"/>
              </w:rPr>
              <w:t>相关资料。</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资料来源：相关部门。</w:t>
            </w:r>
          </w:p>
        </w:tc>
        <w:tc>
          <w:tcPr>
            <w:tcW w:w="5836"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1.县级中医医院完成2个中医特色优势专科的建设任务，得</w:t>
            </w:r>
            <w:r>
              <w:rPr>
                <w:rFonts w:ascii="宋体" w:hAnsi="宋体" w:eastAsia="宋体" w:cs="仿宋"/>
                <w:kern w:val="0"/>
                <w:sz w:val="21"/>
                <w:szCs w:val="21"/>
                <w:highlight w:val="none"/>
                <w:lang w:val="en-US" w:eastAsia="zh-CN" w:bidi="ar-SA"/>
              </w:rPr>
              <w:t>4</w:t>
            </w:r>
            <w:r>
              <w:rPr>
                <w:rFonts w:hint="eastAsia" w:ascii="宋体" w:hAnsi="宋体" w:eastAsia="宋体" w:cs="仿宋"/>
                <w:kern w:val="0"/>
                <w:sz w:val="21"/>
                <w:szCs w:val="21"/>
                <w:highlight w:val="none"/>
                <w:lang w:val="en-US" w:eastAsia="zh-CN" w:bidi="ar-SA"/>
              </w:rPr>
              <w:t>分；完成1个建设任务，得</w:t>
            </w:r>
            <w:r>
              <w:rPr>
                <w:rFonts w:ascii="宋体" w:hAnsi="宋体" w:eastAsia="宋体" w:cs="仿宋"/>
                <w:kern w:val="0"/>
                <w:sz w:val="21"/>
                <w:szCs w:val="21"/>
                <w:highlight w:val="none"/>
                <w:lang w:val="en-US" w:eastAsia="zh-CN" w:bidi="ar-SA"/>
              </w:rPr>
              <w:t>2</w:t>
            </w:r>
            <w:r>
              <w:rPr>
                <w:rFonts w:hint="eastAsia" w:ascii="宋体" w:hAnsi="宋体" w:eastAsia="宋体" w:cs="仿宋"/>
                <w:kern w:val="0"/>
                <w:sz w:val="21"/>
                <w:szCs w:val="21"/>
                <w:highlight w:val="none"/>
                <w:lang w:val="en-US" w:eastAsia="zh-CN" w:bidi="ar-SA"/>
              </w:rPr>
              <w:t>分；未完成建设任务，不得分。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2.出台中医药适宜技术推广责任制的相关文件，得2分；未出台</w:t>
            </w:r>
            <w:r>
              <w:rPr>
                <w:rFonts w:hint="eastAsia" w:ascii="宋体" w:hAnsi="宋体" w:cs="仿宋"/>
                <w:kern w:val="0"/>
                <w:sz w:val="21"/>
                <w:szCs w:val="21"/>
                <w:highlight w:val="none"/>
                <w:lang w:val="en-US" w:eastAsia="zh-CN" w:bidi="ar-SA"/>
              </w:rPr>
              <w:t>文件，</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该指标满分为6分。</w:t>
            </w:r>
          </w:p>
        </w:tc>
        <w:tc>
          <w:tcPr>
            <w:tcW w:w="696" w:type="dxa"/>
            <w:noWrap w:val="0"/>
            <w:vAlign w:val="top"/>
          </w:tcPr>
          <w:p>
            <w:pPr>
              <w:widowControl/>
              <w:spacing w:line="400" w:lineRule="atLeast"/>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6分</w:t>
            </w:r>
          </w:p>
        </w:tc>
        <w:tc>
          <w:tcPr>
            <w:tcW w:w="900" w:type="dxa"/>
            <w:vMerge w:val="restart"/>
            <w:noWrap w:val="0"/>
            <w:vAlign w:val="top"/>
          </w:tcPr>
          <w:p>
            <w:pPr>
              <w:widowControl/>
              <w:jc w:val="both"/>
              <w:rPr>
                <w:rFonts w:hint="eastAsia"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见附录2：90、108、109、110。</w:t>
            </w:r>
          </w:p>
          <w:p>
            <w:pPr>
              <w:widowControl/>
              <w:jc w:val="both"/>
              <w:rPr>
                <w:rFonts w:ascii="宋体" w:hAnsi="宋体" w:eastAsia="宋体" w:cs="仿宋"/>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textAlignment w:val="center"/>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仿宋"/>
                <w:kern w:val="0"/>
                <w:szCs w:val="21"/>
                <w:highlight w:val="none"/>
              </w:rPr>
            </w:pPr>
            <w:r>
              <w:rPr>
                <w:rFonts w:ascii="宋体" w:hAnsi="宋体" w:eastAsia="宋体" w:cs="仿宋"/>
                <w:kern w:val="0"/>
                <w:szCs w:val="21"/>
                <w:highlight w:val="none"/>
              </w:rPr>
              <w:t>7</w:t>
            </w:r>
            <w:r>
              <w:rPr>
                <w:rFonts w:hint="eastAsia" w:ascii="宋体" w:hAnsi="宋体" w:eastAsia="宋体" w:cs="仿宋"/>
                <w:kern w:val="0"/>
                <w:szCs w:val="21"/>
                <w:highlight w:val="none"/>
                <w:lang w:val="en-US" w:eastAsia="zh-CN"/>
              </w:rPr>
              <w:t>0</w:t>
            </w:r>
            <w:r>
              <w:rPr>
                <w:rFonts w:hint="eastAsia" w:ascii="宋体" w:hAnsi="宋体" w:eastAsia="宋体" w:cs="仿宋"/>
                <w:kern w:val="0"/>
                <w:szCs w:val="21"/>
                <w:highlight w:val="none"/>
              </w:rPr>
              <w:t>.基层医疗卫生机构中医药服务能力</w:t>
            </w:r>
          </w:p>
        </w:tc>
        <w:tc>
          <w:tcPr>
            <w:tcW w:w="2496"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rPr>
              <w:t>辖区乡镇卫生院和社区卫生服务中心设置中医馆、配备中医师。建立相对独立的中医馆（中医综合服务区），达到服务标准</w:t>
            </w:r>
            <w:r>
              <w:rPr>
                <w:rFonts w:hint="eastAsia" w:ascii="宋体" w:hAnsi="宋体" w:eastAsia="宋体" w:cs="仿宋"/>
                <w:kern w:val="0"/>
                <w:szCs w:val="21"/>
                <w:highlight w:val="none"/>
                <w:lang w:val="en-US" w:eastAsia="zh-CN"/>
              </w:rPr>
              <w:t>和中医师配置标准</w:t>
            </w:r>
            <w:r>
              <w:rPr>
                <w:rFonts w:hint="eastAsia" w:ascii="宋体" w:hAnsi="宋体" w:eastAsia="宋体" w:cs="仿宋"/>
                <w:kern w:val="0"/>
                <w:szCs w:val="21"/>
                <w:highlight w:val="none"/>
              </w:rPr>
              <w:t>、逐步完善服务内涵建设、接入健康信息平台并开展远程医疗服务。</w:t>
            </w:r>
          </w:p>
        </w:tc>
        <w:tc>
          <w:tcPr>
            <w:tcW w:w="3095"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查阅资料：中医馆建设和运行相关资料。</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资料来源：卫生健康等部门。</w:t>
            </w:r>
          </w:p>
        </w:tc>
        <w:tc>
          <w:tcPr>
            <w:tcW w:w="5836"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1.达标建设中医馆（中医综合服务区）的社区卫生服务中心占比达到100%，得5分；≥80%且＜100%，得3分；＜</w:t>
            </w:r>
            <w:r>
              <w:rPr>
                <w:rFonts w:hint="eastAsia" w:ascii="宋体" w:hAnsi="宋体" w:cs="仿宋"/>
                <w:kern w:val="0"/>
                <w:sz w:val="21"/>
                <w:szCs w:val="21"/>
                <w:highlight w:val="none"/>
                <w:lang w:val="en-US" w:eastAsia="zh-CN" w:bidi="ar-SA"/>
              </w:rPr>
              <w:t>80%，得1分；</w:t>
            </w:r>
            <w:r>
              <w:rPr>
                <w:rFonts w:hint="eastAsia" w:ascii="宋体" w:hAnsi="宋体" w:eastAsia="宋体" w:cs="仿宋"/>
                <w:kern w:val="0"/>
                <w:sz w:val="21"/>
                <w:szCs w:val="21"/>
                <w:highlight w:val="none"/>
                <w:lang w:val="en-US" w:eastAsia="zh-CN" w:bidi="ar-SA"/>
              </w:rPr>
              <w:t>未建设</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ascii="宋体" w:hAnsi="宋体" w:eastAsia="宋体" w:cs="仿宋"/>
                <w:kern w:val="0"/>
                <w:sz w:val="21"/>
                <w:szCs w:val="21"/>
                <w:highlight w:val="none"/>
                <w:lang w:val="en-US" w:eastAsia="zh-CN" w:bidi="ar-SA"/>
              </w:rPr>
              <w:t>2</w:t>
            </w:r>
            <w:r>
              <w:rPr>
                <w:rFonts w:hint="eastAsia" w:ascii="宋体" w:hAnsi="宋体" w:eastAsia="宋体" w:cs="仿宋"/>
                <w:kern w:val="0"/>
                <w:sz w:val="21"/>
                <w:szCs w:val="21"/>
                <w:highlight w:val="none"/>
                <w:lang w:val="en-US" w:eastAsia="zh-CN" w:bidi="ar-SA"/>
              </w:rPr>
              <w:t>.达标建设中医馆（中医综合服务区）的乡镇卫生院占比达到100%，得5分；≥80%且＜100%，得3分；＜</w:t>
            </w:r>
            <w:r>
              <w:rPr>
                <w:rFonts w:hint="eastAsia" w:ascii="宋体" w:hAnsi="宋体" w:cs="仿宋"/>
                <w:kern w:val="0"/>
                <w:sz w:val="21"/>
                <w:szCs w:val="21"/>
                <w:highlight w:val="none"/>
                <w:lang w:val="en-US" w:eastAsia="zh-CN" w:bidi="ar-SA"/>
              </w:rPr>
              <w:t>80%，得1分；</w:t>
            </w:r>
            <w:r>
              <w:rPr>
                <w:rFonts w:hint="eastAsia" w:ascii="宋体" w:hAnsi="宋体" w:eastAsia="宋体" w:cs="仿宋"/>
                <w:kern w:val="0"/>
                <w:sz w:val="21"/>
                <w:szCs w:val="21"/>
                <w:highlight w:val="none"/>
                <w:lang w:val="en-US" w:eastAsia="zh-CN" w:bidi="ar-SA"/>
              </w:rPr>
              <w:t>未建设</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该指标满分为10分。</w:t>
            </w:r>
          </w:p>
        </w:tc>
        <w:tc>
          <w:tcPr>
            <w:tcW w:w="696" w:type="dxa"/>
            <w:noWrap w:val="0"/>
            <w:vAlign w:val="top"/>
          </w:tcPr>
          <w:p>
            <w:pPr>
              <w:widowControl/>
              <w:spacing w:line="400" w:lineRule="atLeast"/>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10分</w:t>
            </w:r>
          </w:p>
        </w:tc>
        <w:tc>
          <w:tcPr>
            <w:tcW w:w="900" w:type="dxa"/>
            <w:vMerge w:val="continue"/>
            <w:noWrap w:val="0"/>
            <w:vAlign w:val="top"/>
          </w:tcPr>
          <w:p>
            <w:pPr>
              <w:widowControl/>
              <w:spacing w:line="400" w:lineRule="atLeast"/>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仿宋"/>
                <w:kern w:val="0"/>
                <w:szCs w:val="21"/>
                <w:highlight w:val="none"/>
              </w:rPr>
            </w:pPr>
            <w:r>
              <w:rPr>
                <w:rFonts w:ascii="宋体" w:hAnsi="宋体" w:eastAsia="宋体" w:cs="仿宋"/>
                <w:kern w:val="0"/>
                <w:szCs w:val="21"/>
                <w:highlight w:val="none"/>
              </w:rPr>
              <w:t>7</w:t>
            </w:r>
            <w:r>
              <w:rPr>
                <w:rFonts w:hint="eastAsia" w:ascii="宋体" w:hAnsi="宋体" w:eastAsia="宋体" w:cs="仿宋"/>
                <w:kern w:val="0"/>
                <w:szCs w:val="21"/>
                <w:highlight w:val="none"/>
                <w:lang w:val="en-US" w:eastAsia="zh-CN"/>
              </w:rPr>
              <w:t>1</w:t>
            </w:r>
            <w:r>
              <w:rPr>
                <w:rFonts w:ascii="宋体" w:hAnsi="宋体" w:eastAsia="宋体" w:cs="仿宋"/>
                <w:kern w:val="0"/>
                <w:szCs w:val="21"/>
                <w:highlight w:val="none"/>
              </w:rPr>
              <w:t>.</w:t>
            </w:r>
            <w:r>
              <w:rPr>
                <w:rFonts w:hint="eastAsia" w:ascii="宋体" w:hAnsi="宋体" w:eastAsia="宋体" w:cs="仿宋"/>
                <w:kern w:val="0"/>
                <w:szCs w:val="21"/>
                <w:highlight w:val="none"/>
              </w:rPr>
              <w:t>家庭医生中医药服务</w:t>
            </w:r>
          </w:p>
        </w:tc>
        <w:tc>
          <w:tcPr>
            <w:tcW w:w="2496"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rPr>
              <w:t>将中医药服务纳入家庭医生签约服务内容，加强签约团队中医药人员配置，鼓励家庭医生（团队）掌握和使用针刺、推拿、拔罐、艾灸等中医药技术方法，提供中医治未病服务。</w:t>
            </w:r>
          </w:p>
        </w:tc>
        <w:tc>
          <w:tcPr>
            <w:tcW w:w="3095"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现场抽查：</w:t>
            </w:r>
            <w:r>
              <w:rPr>
                <w:rFonts w:hint="eastAsia" w:ascii="宋体" w:hAnsi="宋体" w:eastAsia="宋体" w:cs="宋体"/>
                <w:kern w:val="0"/>
                <w:sz w:val="21"/>
                <w:szCs w:val="21"/>
                <w:highlight w:val="none"/>
                <w:lang w:val="en-US" w:eastAsia="zh-CN" w:bidi="ar-SA"/>
              </w:rPr>
              <w:t>抽取1家社区卫生服务中心和1家乡镇卫生院，了解家庭医生中医药服务开展及中医治未病服务提供情况</w:t>
            </w:r>
            <w:r>
              <w:rPr>
                <w:rFonts w:hint="eastAsia" w:ascii="宋体" w:hAnsi="宋体" w:eastAsia="宋体" w:cs="仿宋"/>
                <w:kern w:val="0"/>
                <w:sz w:val="21"/>
                <w:szCs w:val="21"/>
                <w:highlight w:val="none"/>
                <w:lang w:val="en-US" w:eastAsia="zh-CN" w:bidi="ar-SA"/>
              </w:rPr>
              <w:t>。</w:t>
            </w:r>
          </w:p>
        </w:tc>
        <w:tc>
          <w:tcPr>
            <w:tcW w:w="5836"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被抽取的医疗机构中：</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1.机构有包含中医药服务内容的签约服务包，得2分；没有</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2.社区卫生服务中心或乡镇卫生院有家庭医生团队或个人通过针刺、推拿、拔罐、艾灸等中医药技术方法为签约居民提供中医药治未病服务，得2分；不能提供，不得分。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2家抽查单位满分为</w:t>
            </w:r>
            <w:r>
              <w:rPr>
                <w:rFonts w:ascii="宋体" w:hAnsi="宋体" w:eastAsia="宋体" w:cs="仿宋"/>
                <w:kern w:val="0"/>
                <w:sz w:val="21"/>
                <w:szCs w:val="21"/>
                <w:highlight w:val="none"/>
                <w:lang w:val="en-US" w:eastAsia="zh-CN" w:bidi="ar-SA"/>
              </w:rPr>
              <w:t>8</w:t>
            </w:r>
            <w:r>
              <w:rPr>
                <w:rFonts w:hint="eastAsia" w:ascii="宋体" w:hAnsi="宋体" w:eastAsia="宋体" w:cs="仿宋"/>
                <w:kern w:val="0"/>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8</w:t>
            </w:r>
            <w:r>
              <w:rPr>
                <w:rFonts w:hint="eastAsia" w:ascii="宋体" w:hAnsi="宋体" w:eastAsia="宋体" w:cs="仿宋"/>
                <w:kern w:val="2"/>
                <w:sz w:val="21"/>
                <w:szCs w:val="21"/>
                <w:highlight w:val="none"/>
                <w:lang w:val="en-US" w:eastAsia="zh-CN" w:bidi="ar-SA"/>
              </w:rPr>
              <w:t>分</w:t>
            </w:r>
          </w:p>
        </w:tc>
        <w:tc>
          <w:tcPr>
            <w:tcW w:w="900" w:type="dxa"/>
            <w:vMerge w:val="continue"/>
            <w:noWrap w:val="0"/>
            <w:vAlign w:val="top"/>
          </w:tcPr>
          <w:p>
            <w:pPr>
              <w:widowControl/>
              <w:spacing w:line="400" w:lineRule="atLeast"/>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color w:val="000000"/>
                <w:szCs w:val="21"/>
                <w:highlight w:val="none"/>
              </w:rPr>
            </w:pPr>
          </w:p>
        </w:tc>
        <w:tc>
          <w:tcPr>
            <w:tcW w:w="695" w:type="dxa"/>
            <w:vMerge w:val="continue"/>
            <w:noWrap w:val="0"/>
            <w:vAlign w:val="top"/>
          </w:tcPr>
          <w:p>
            <w:pPr>
              <w:widowControl/>
              <w:spacing w:line="400" w:lineRule="atLeast"/>
              <w:jc w:val="both"/>
              <w:rPr>
                <w:rFonts w:ascii="宋体" w:hAnsi="宋体" w:eastAsia="宋体" w:cs="仿宋"/>
                <w:kern w:val="0"/>
                <w:szCs w:val="21"/>
                <w:highlight w:val="none"/>
              </w:rPr>
            </w:pPr>
          </w:p>
        </w:tc>
        <w:tc>
          <w:tcPr>
            <w:tcW w:w="968"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lang w:val="en-US" w:eastAsia="zh-CN"/>
              </w:rPr>
              <w:t>72</w:t>
            </w:r>
            <w:r>
              <w:rPr>
                <w:rFonts w:ascii="宋体" w:hAnsi="宋体" w:eastAsia="宋体" w:cs="仿宋"/>
                <w:kern w:val="0"/>
                <w:szCs w:val="21"/>
                <w:highlight w:val="none"/>
              </w:rPr>
              <w:t>.传承中医药文化</w:t>
            </w:r>
          </w:p>
        </w:tc>
        <w:tc>
          <w:tcPr>
            <w:tcW w:w="2496" w:type="dxa"/>
            <w:noWrap w:val="0"/>
            <w:vAlign w:val="top"/>
          </w:tcPr>
          <w:p>
            <w:pPr>
              <w:widowControl/>
              <w:jc w:val="both"/>
              <w:rPr>
                <w:rFonts w:ascii="宋体" w:hAnsi="宋体" w:eastAsia="宋体" w:cs="仿宋"/>
                <w:kern w:val="0"/>
                <w:szCs w:val="21"/>
                <w:highlight w:val="none"/>
              </w:rPr>
            </w:pPr>
            <w:r>
              <w:rPr>
                <w:rFonts w:hint="eastAsia" w:ascii="宋体" w:hAnsi="宋体" w:eastAsia="宋体" w:cs="仿宋"/>
                <w:kern w:val="0"/>
                <w:szCs w:val="21"/>
                <w:highlight w:val="none"/>
              </w:rPr>
              <w:t>依托县级医院设置中医健康宣教基地；在社区卫生服务中心、</w:t>
            </w:r>
            <w:r>
              <w:rPr>
                <w:rFonts w:hint="eastAsia" w:ascii="宋体" w:hAnsi="宋体" w:eastAsia="宋体" w:cs="仿宋"/>
                <w:kern w:val="0"/>
                <w:szCs w:val="21"/>
                <w:highlight w:val="none"/>
                <w:lang w:val="en-US" w:eastAsia="zh-CN"/>
              </w:rPr>
              <w:t>乡镇卫生院、</w:t>
            </w:r>
            <w:r>
              <w:rPr>
                <w:rFonts w:hint="eastAsia" w:ascii="宋体" w:hAnsi="宋体" w:eastAsia="宋体" w:cs="仿宋"/>
                <w:kern w:val="0"/>
                <w:szCs w:val="21"/>
                <w:highlight w:val="none"/>
              </w:rPr>
              <w:t>基层中医馆、社区居委会、乡村群众活动场所等建设一批中医药健康文化知识角；建设中医药科普专家队伍，组织开展中医药文化科普巡讲活动；将中医药科普知识和《中国公民中医养生保健素养》作为健康教育重要内容。</w:t>
            </w:r>
          </w:p>
        </w:tc>
        <w:tc>
          <w:tcPr>
            <w:tcW w:w="3095"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查阅资料：中医健康宣教基地、中医药健康文化知识角、中医药健康科普等相关工作资料。</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资料来源：卫生健康部门。</w:t>
            </w:r>
          </w:p>
        </w:tc>
        <w:tc>
          <w:tcPr>
            <w:tcW w:w="5836" w:type="dxa"/>
            <w:noWrap w:val="0"/>
            <w:vAlign w:val="top"/>
          </w:tcPr>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1.辖区建有中医健康宣教基地，得</w:t>
            </w:r>
            <w:r>
              <w:rPr>
                <w:rFonts w:ascii="宋体" w:hAnsi="宋体" w:eastAsia="宋体" w:cs="仿宋"/>
                <w:kern w:val="0"/>
                <w:sz w:val="21"/>
                <w:szCs w:val="21"/>
                <w:highlight w:val="none"/>
                <w:lang w:val="en-US" w:eastAsia="zh-CN" w:bidi="ar-SA"/>
              </w:rPr>
              <w:t>2</w:t>
            </w:r>
            <w:r>
              <w:rPr>
                <w:rFonts w:hint="eastAsia" w:ascii="宋体" w:hAnsi="宋体" w:eastAsia="宋体" w:cs="仿宋"/>
                <w:kern w:val="0"/>
                <w:sz w:val="21"/>
                <w:szCs w:val="21"/>
                <w:highlight w:val="none"/>
                <w:lang w:val="en-US" w:eastAsia="zh-CN" w:bidi="ar-SA"/>
              </w:rPr>
              <w:t>分；未建设</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2.辖区建有中医药健康文化知识角，得</w:t>
            </w:r>
            <w:r>
              <w:rPr>
                <w:rFonts w:ascii="宋体" w:hAnsi="宋体" w:eastAsia="宋体" w:cs="仿宋"/>
                <w:kern w:val="0"/>
                <w:sz w:val="21"/>
                <w:szCs w:val="21"/>
                <w:highlight w:val="none"/>
                <w:lang w:val="en-US" w:eastAsia="zh-CN" w:bidi="ar-SA"/>
              </w:rPr>
              <w:t>2</w:t>
            </w:r>
            <w:r>
              <w:rPr>
                <w:rFonts w:hint="eastAsia" w:ascii="宋体" w:hAnsi="宋体" w:eastAsia="宋体" w:cs="仿宋"/>
                <w:kern w:val="0"/>
                <w:sz w:val="21"/>
                <w:szCs w:val="21"/>
                <w:highlight w:val="none"/>
                <w:lang w:val="en-US" w:eastAsia="zh-CN" w:bidi="ar-SA"/>
              </w:rPr>
              <w:t>分；未建设</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3.建立中医药科普专家队伍，得</w:t>
            </w:r>
            <w:r>
              <w:rPr>
                <w:rFonts w:ascii="宋体" w:hAnsi="宋体" w:eastAsia="宋体" w:cs="仿宋"/>
                <w:kern w:val="0"/>
                <w:sz w:val="21"/>
                <w:szCs w:val="21"/>
                <w:highlight w:val="none"/>
                <w:lang w:val="en-US" w:eastAsia="zh-CN" w:bidi="ar-SA"/>
              </w:rPr>
              <w:t>2</w:t>
            </w:r>
            <w:r>
              <w:rPr>
                <w:rFonts w:hint="eastAsia" w:ascii="宋体" w:hAnsi="宋体" w:eastAsia="宋体" w:cs="仿宋"/>
                <w:kern w:val="0"/>
                <w:sz w:val="21"/>
                <w:szCs w:val="21"/>
                <w:highlight w:val="none"/>
                <w:lang w:val="en-US" w:eastAsia="zh-CN" w:bidi="ar-SA"/>
              </w:rPr>
              <w:t>分；未建立，不得分。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4.基层医疗卫生机构日常健康教育中包含中医药内容，得</w:t>
            </w:r>
            <w:r>
              <w:rPr>
                <w:rFonts w:ascii="宋体" w:hAnsi="宋体" w:eastAsia="宋体" w:cs="仿宋"/>
                <w:kern w:val="0"/>
                <w:sz w:val="21"/>
                <w:szCs w:val="21"/>
                <w:highlight w:val="none"/>
                <w:lang w:val="en-US" w:eastAsia="zh-CN" w:bidi="ar-SA"/>
              </w:rPr>
              <w:t>2</w:t>
            </w:r>
            <w:r>
              <w:rPr>
                <w:rFonts w:hint="eastAsia" w:ascii="宋体" w:hAnsi="宋体" w:eastAsia="宋体" w:cs="仿宋"/>
                <w:kern w:val="0"/>
                <w:sz w:val="21"/>
                <w:szCs w:val="21"/>
                <w:highlight w:val="none"/>
                <w:lang w:val="en-US" w:eastAsia="zh-CN" w:bidi="ar-SA"/>
              </w:rPr>
              <w:t>分；未包含</w:t>
            </w:r>
            <w:r>
              <w:rPr>
                <w:rFonts w:hint="eastAsia" w:ascii="宋体" w:hAnsi="宋体" w:cs="仿宋"/>
                <w:kern w:val="0"/>
                <w:sz w:val="21"/>
                <w:szCs w:val="21"/>
                <w:highlight w:val="none"/>
                <w:lang w:val="en-US" w:eastAsia="zh-CN" w:bidi="ar-SA"/>
              </w:rPr>
              <w:t>，</w:t>
            </w:r>
            <w:r>
              <w:rPr>
                <w:rFonts w:hint="eastAsia" w:ascii="宋体" w:hAnsi="宋体" w:eastAsia="宋体" w:cs="仿宋"/>
                <w:kern w:val="0"/>
                <w:sz w:val="21"/>
                <w:szCs w:val="21"/>
                <w:highlight w:val="none"/>
                <w:lang w:val="en-US" w:eastAsia="zh-CN" w:bidi="ar-SA"/>
              </w:rPr>
              <w:t>不得分。</w:t>
            </w:r>
          </w:p>
          <w:p>
            <w:pPr>
              <w:widowControl/>
              <w:jc w:val="both"/>
              <w:rPr>
                <w:rFonts w:ascii="宋体" w:hAnsi="宋体" w:eastAsia="宋体" w:cs="仿宋"/>
                <w:kern w:val="0"/>
                <w:sz w:val="21"/>
                <w:szCs w:val="21"/>
                <w:highlight w:val="none"/>
                <w:lang w:val="en-US" w:eastAsia="zh-CN" w:bidi="ar-SA"/>
              </w:rPr>
            </w:pPr>
            <w:r>
              <w:rPr>
                <w:rFonts w:hint="eastAsia" w:ascii="宋体" w:hAnsi="宋体" w:eastAsia="宋体" w:cs="仿宋"/>
                <w:kern w:val="0"/>
                <w:sz w:val="21"/>
                <w:szCs w:val="21"/>
                <w:highlight w:val="none"/>
                <w:lang w:val="en-US" w:eastAsia="zh-CN" w:bidi="ar-SA"/>
              </w:rPr>
              <w:t>该指标满分为</w:t>
            </w:r>
            <w:r>
              <w:rPr>
                <w:rFonts w:ascii="宋体" w:hAnsi="宋体" w:eastAsia="宋体" w:cs="仿宋"/>
                <w:kern w:val="0"/>
                <w:sz w:val="21"/>
                <w:szCs w:val="21"/>
                <w:highlight w:val="none"/>
                <w:lang w:val="en-US" w:eastAsia="zh-CN" w:bidi="ar-SA"/>
              </w:rPr>
              <w:t>8</w:t>
            </w:r>
            <w:r>
              <w:rPr>
                <w:rFonts w:hint="eastAsia" w:ascii="宋体" w:hAnsi="宋体" w:eastAsia="宋体" w:cs="仿宋"/>
                <w:kern w:val="0"/>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8</w:t>
            </w:r>
            <w:r>
              <w:rPr>
                <w:rFonts w:hint="eastAsia" w:ascii="宋体" w:hAnsi="宋体" w:eastAsia="宋体" w:cs="仿宋"/>
                <w:kern w:val="2"/>
                <w:sz w:val="21"/>
                <w:szCs w:val="21"/>
                <w:highlight w:val="none"/>
                <w:lang w:val="en-US" w:eastAsia="zh-CN" w:bidi="ar-SA"/>
              </w:rPr>
              <w:t>分</w:t>
            </w:r>
          </w:p>
        </w:tc>
        <w:tc>
          <w:tcPr>
            <w:tcW w:w="900" w:type="dxa"/>
            <w:vMerge w:val="continue"/>
            <w:noWrap w:val="0"/>
            <w:vAlign w:val="top"/>
          </w:tcPr>
          <w:p>
            <w:pPr>
              <w:widowControl/>
              <w:spacing w:line="400" w:lineRule="atLeast"/>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restart"/>
            <w:noWrap w:val="0"/>
            <w:vAlign w:val="top"/>
          </w:tcPr>
          <w:p>
            <w:pPr>
              <w:spacing w:line="365" w:lineRule="atLeast"/>
              <w:jc w:val="both"/>
              <w:rPr>
                <w:rFonts w:ascii="宋体" w:hAnsi="宋体" w:eastAsia="宋体" w:cs="仿宋"/>
                <w:szCs w:val="21"/>
                <w:highlight w:val="none"/>
              </w:rPr>
            </w:pPr>
            <w:r>
              <w:rPr>
                <w:rFonts w:hint="eastAsia" w:ascii="宋体" w:hAnsi="宋体" w:eastAsia="宋体" w:cs="Times New Roman"/>
                <w:b/>
                <w:szCs w:val="21"/>
                <w:highlight w:val="none"/>
              </w:rPr>
              <w:t>五、健康文化</w:t>
            </w:r>
          </w:p>
        </w:tc>
        <w:tc>
          <w:tcPr>
            <w:tcW w:w="695" w:type="dxa"/>
            <w:noWrap w:val="0"/>
            <w:vAlign w:val="top"/>
          </w:tcPr>
          <w:p>
            <w:pPr>
              <w:jc w:val="both"/>
              <w:textAlignment w:val="center"/>
              <w:rPr>
                <w:rFonts w:ascii="宋体" w:hAnsi="宋体" w:eastAsia="宋体" w:cs="仿宋"/>
                <w:szCs w:val="21"/>
                <w:highlight w:val="none"/>
              </w:rPr>
            </w:pPr>
            <w:r>
              <w:rPr>
                <w:rFonts w:hint="eastAsia" w:ascii="宋体" w:hAnsi="宋体" w:eastAsia="宋体" w:cs="仿宋"/>
                <w:szCs w:val="21"/>
                <w:highlight w:val="none"/>
              </w:rPr>
              <w:t>第二十七条</w:t>
            </w:r>
          </w:p>
        </w:tc>
        <w:tc>
          <w:tcPr>
            <w:tcW w:w="968" w:type="dxa"/>
            <w:noWrap w:val="0"/>
            <w:vAlign w:val="top"/>
          </w:tcPr>
          <w:p>
            <w:pPr>
              <w:jc w:val="both"/>
              <w:textAlignment w:val="center"/>
              <w:rPr>
                <w:rFonts w:ascii="宋体" w:hAnsi="宋体" w:eastAsia="宋体" w:cs="仿宋"/>
                <w:szCs w:val="21"/>
                <w:highlight w:val="none"/>
              </w:rPr>
            </w:pPr>
            <w:r>
              <w:rPr>
                <w:rFonts w:ascii="宋体" w:hAnsi="宋体" w:eastAsia="宋体" w:cs="仿宋"/>
                <w:szCs w:val="21"/>
                <w:highlight w:val="none"/>
              </w:rPr>
              <w:t>7</w:t>
            </w:r>
            <w:r>
              <w:rPr>
                <w:rFonts w:hint="eastAsia" w:ascii="宋体" w:hAnsi="宋体" w:eastAsia="宋体" w:cs="仿宋"/>
                <w:szCs w:val="21"/>
                <w:highlight w:val="none"/>
                <w:lang w:val="en-US" w:eastAsia="zh-CN"/>
              </w:rPr>
              <w:t>3</w:t>
            </w:r>
            <w:r>
              <w:rPr>
                <w:rFonts w:hint="eastAsia" w:ascii="宋体" w:hAnsi="宋体" w:eastAsia="宋体" w:cs="仿宋"/>
                <w:szCs w:val="21"/>
                <w:highlight w:val="none"/>
              </w:rPr>
              <w:t>.营造健康社会氛围</w:t>
            </w:r>
          </w:p>
        </w:tc>
        <w:tc>
          <w:tcPr>
            <w:tcW w:w="249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面向公众广泛开展文明健康绿色环保生活方式宣传，营造全民关注健康的社会氛围。领导干部</w:t>
            </w:r>
            <w:r>
              <w:rPr>
                <w:rFonts w:ascii="宋体" w:hAnsi="宋体" w:eastAsia="宋体" w:cs="仿宋"/>
                <w:szCs w:val="21"/>
                <w:highlight w:val="none"/>
              </w:rPr>
              <w:t>带头践行文明健康绿色环保生活方式</w:t>
            </w:r>
            <w:r>
              <w:rPr>
                <w:rFonts w:hint="eastAsia" w:ascii="宋体" w:hAnsi="宋体" w:eastAsia="宋体" w:cs="仿宋"/>
                <w:szCs w:val="21"/>
                <w:highlight w:val="none"/>
              </w:rPr>
              <w:t>。</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查阅资料：倡导文明健康绿色环保生活方式相关资料。</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资料来源：相关部门。</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1.有践行文明健康绿色环保生活方式相关文件，得4分；无文件，不得分。</w:t>
            </w:r>
          </w:p>
          <w:p>
            <w:pPr>
              <w:widowControl w:val="0"/>
              <w:jc w:val="both"/>
              <w:rPr>
                <w:rFonts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2</w:t>
            </w:r>
            <w:r>
              <w:rPr>
                <w:rFonts w:hint="eastAsia" w:ascii="宋体" w:hAnsi="宋体" w:eastAsia="宋体" w:cs="仿宋"/>
                <w:kern w:val="2"/>
                <w:sz w:val="21"/>
                <w:szCs w:val="21"/>
                <w:highlight w:val="none"/>
                <w:lang w:val="en-US" w:eastAsia="zh-CN" w:bidi="ar-SA"/>
              </w:rPr>
              <w:t>.利用大众媒体、公交媒体、公共场所或社区宣传栏、广告牌、横幅、新媒体等形式开展相关宣传活动且有记录，每种形式得2分，最高得12分；未开展宣传活动，不得分。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该指标满分为16分。</w:t>
            </w:r>
          </w:p>
        </w:tc>
        <w:tc>
          <w:tcPr>
            <w:tcW w:w="696" w:type="dxa"/>
            <w:noWrap w:val="0"/>
            <w:vAlign w:val="top"/>
          </w:tcPr>
          <w:p>
            <w:pPr>
              <w:jc w:val="both"/>
              <w:rPr>
                <w:rFonts w:hint="eastAsia" w:ascii="宋体" w:hAnsi="宋体" w:eastAsia="宋体" w:cs="仿宋"/>
                <w:szCs w:val="21"/>
                <w:highlight w:val="none"/>
                <w:lang w:eastAsia="zh-CN"/>
              </w:rPr>
            </w:pPr>
            <w:r>
              <w:rPr>
                <w:rFonts w:ascii="宋体" w:hAnsi="宋体" w:eastAsia="宋体" w:cs="仿宋"/>
                <w:szCs w:val="21"/>
                <w:highlight w:val="none"/>
              </w:rPr>
              <w:t>1</w:t>
            </w:r>
            <w:r>
              <w:rPr>
                <w:rFonts w:hint="eastAsia" w:ascii="宋体" w:hAnsi="宋体" w:eastAsia="宋体" w:cs="仿宋"/>
                <w:szCs w:val="21"/>
                <w:highlight w:val="none"/>
                <w:lang w:val="en-US" w:eastAsia="zh-CN"/>
              </w:rPr>
              <w:t>6</w:t>
            </w:r>
            <w:r>
              <w:rPr>
                <w:rFonts w:hint="eastAsia" w:ascii="宋体" w:hAnsi="宋体" w:eastAsia="宋体" w:cs="仿宋"/>
                <w:szCs w:val="21"/>
                <w:highlight w:val="none"/>
              </w:rPr>
              <w:t>分</w:t>
            </w:r>
          </w:p>
        </w:tc>
        <w:tc>
          <w:tcPr>
            <w:tcW w:w="900" w:type="dxa"/>
            <w:noWrap w:val="0"/>
            <w:vAlign w:val="top"/>
          </w:tcPr>
          <w:p>
            <w:pPr>
              <w:jc w:val="both"/>
              <w:rPr>
                <w:rFonts w:ascii="宋体" w:hAnsi="宋体" w:eastAsia="宋体" w:cs="仿宋"/>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365" w:lineRule="atLeast"/>
              <w:jc w:val="both"/>
              <w:rPr>
                <w:rFonts w:ascii="宋体" w:hAnsi="宋体" w:eastAsia="宋体" w:cs="仿宋"/>
                <w:b/>
                <w:bCs/>
                <w:kern w:val="0"/>
                <w:szCs w:val="21"/>
                <w:highlight w:val="none"/>
              </w:rPr>
            </w:pPr>
          </w:p>
        </w:tc>
        <w:tc>
          <w:tcPr>
            <w:tcW w:w="695" w:type="dxa"/>
            <w:vMerge w:val="restart"/>
            <w:noWrap w:val="0"/>
            <w:vAlign w:val="top"/>
          </w:tcPr>
          <w:p>
            <w:pPr>
              <w:jc w:val="both"/>
              <w:rPr>
                <w:rFonts w:ascii="宋体" w:hAnsi="宋体" w:eastAsia="宋体" w:cs="仿宋"/>
                <w:b/>
                <w:bCs/>
                <w:kern w:val="0"/>
                <w:szCs w:val="21"/>
                <w:highlight w:val="none"/>
              </w:rPr>
            </w:pPr>
            <w:r>
              <w:rPr>
                <w:rFonts w:hint="eastAsia" w:ascii="宋体" w:hAnsi="宋体" w:eastAsia="宋体" w:cs="仿宋"/>
                <w:szCs w:val="21"/>
                <w:highlight w:val="none"/>
              </w:rPr>
              <w:t>第二十八条</w:t>
            </w:r>
          </w:p>
        </w:tc>
        <w:tc>
          <w:tcPr>
            <w:tcW w:w="968"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7</w:t>
            </w:r>
            <w:r>
              <w:rPr>
                <w:rFonts w:hint="eastAsia" w:ascii="宋体" w:hAnsi="宋体" w:eastAsia="宋体" w:cs="仿宋"/>
                <w:szCs w:val="21"/>
                <w:highlight w:val="none"/>
                <w:lang w:val="en-US" w:eastAsia="zh-CN"/>
              </w:rPr>
              <w:t>4</w:t>
            </w:r>
            <w:r>
              <w:rPr>
                <w:rFonts w:hint="eastAsia" w:ascii="宋体" w:hAnsi="宋体" w:eastAsia="宋体" w:cs="仿宋"/>
                <w:szCs w:val="21"/>
                <w:highlight w:val="none"/>
              </w:rPr>
              <w:t>.健康科普信息发布制度</w:t>
            </w:r>
          </w:p>
        </w:tc>
        <w:tc>
          <w:tcPr>
            <w:tcW w:w="2496" w:type="dxa"/>
            <w:noWrap w:val="0"/>
            <w:vAlign w:val="top"/>
          </w:tcPr>
          <w:p>
            <w:pPr>
              <w:jc w:val="both"/>
              <w:rPr>
                <w:rFonts w:hint="eastAsia" w:ascii="宋体" w:hAnsi="宋体" w:eastAsia="宋体" w:cs="仿宋"/>
                <w:szCs w:val="21"/>
                <w:highlight w:val="none"/>
                <w:lang w:eastAsia="zh-CN"/>
              </w:rPr>
            </w:pPr>
            <w:r>
              <w:rPr>
                <w:rFonts w:hint="eastAsia" w:ascii="宋体" w:hAnsi="宋体" w:eastAsia="宋体" w:cs="仿宋"/>
                <w:szCs w:val="21"/>
                <w:highlight w:val="none"/>
              </w:rPr>
              <w:t>建立健康科普信息发布制度，</w:t>
            </w:r>
            <w:r>
              <w:rPr>
                <w:rFonts w:hint="eastAsia" w:ascii="宋体" w:hAnsi="宋体" w:eastAsia="宋体" w:cs="仿宋"/>
                <w:szCs w:val="21"/>
                <w:highlight w:val="none"/>
                <w:lang w:val="en-US" w:eastAsia="zh-CN"/>
              </w:rPr>
              <w:t>加强对各类媒体</w:t>
            </w:r>
            <w:r>
              <w:rPr>
                <w:rFonts w:hint="eastAsia" w:ascii="宋体" w:hAnsi="宋体" w:eastAsia="宋体" w:cs="仿宋"/>
                <w:szCs w:val="21"/>
                <w:highlight w:val="none"/>
              </w:rPr>
              <w:t>健康科普信息</w:t>
            </w:r>
            <w:r>
              <w:rPr>
                <w:rFonts w:hint="eastAsia" w:ascii="宋体" w:hAnsi="宋体" w:eastAsia="宋体" w:cs="仿宋"/>
                <w:szCs w:val="21"/>
                <w:highlight w:val="none"/>
                <w:lang w:val="en-US" w:eastAsia="zh-CN"/>
              </w:rPr>
              <w:t>的监管</w:t>
            </w:r>
            <w:r>
              <w:rPr>
                <w:rFonts w:hint="eastAsia" w:ascii="宋体" w:hAnsi="宋体" w:eastAsia="宋体" w:cs="仿宋"/>
                <w:szCs w:val="21"/>
                <w:highlight w:val="none"/>
              </w:rPr>
              <w:t>。</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查阅资料：健康科普信息发布制度建设相关资料。</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资料来源：文件印发部门。</w:t>
            </w:r>
          </w:p>
        </w:tc>
        <w:tc>
          <w:tcPr>
            <w:tcW w:w="5836" w:type="dxa"/>
            <w:noWrap w:val="0"/>
            <w:vAlign w:val="top"/>
          </w:tcPr>
          <w:p>
            <w:pPr>
              <w:widowControl w:val="0"/>
              <w:jc w:val="both"/>
              <w:rPr>
                <w:rFonts w:hint="default"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1.建立健康知识和技能核心信息发布制度，得6分；未建立</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2.明确相关部门职责，得4分；未明确</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3.当地电视台对健康栏目或节目有明确的审核、监管流程，得6分；无相应流程</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hint="default"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该指标满分为16分。</w:t>
            </w:r>
          </w:p>
        </w:tc>
        <w:tc>
          <w:tcPr>
            <w:tcW w:w="696" w:type="dxa"/>
            <w:noWrap w:val="0"/>
            <w:vAlign w:val="top"/>
          </w:tcPr>
          <w:p>
            <w:pPr>
              <w:widowControl/>
              <w:spacing w:line="400" w:lineRule="atLeast"/>
              <w:jc w:val="both"/>
              <w:rPr>
                <w:rFonts w:ascii="宋体" w:hAnsi="宋体" w:eastAsia="宋体" w:cs="Times New Roman"/>
                <w:szCs w:val="21"/>
                <w:highlight w:val="none"/>
              </w:rPr>
            </w:pPr>
            <w:r>
              <w:rPr>
                <w:rFonts w:hint="eastAsia" w:ascii="宋体" w:hAnsi="宋体" w:eastAsia="宋体" w:cs="仿宋"/>
                <w:kern w:val="0"/>
                <w:szCs w:val="21"/>
                <w:highlight w:val="none"/>
                <w:lang w:val="en-US" w:eastAsia="zh-CN"/>
              </w:rPr>
              <w:t>16</w:t>
            </w:r>
            <w:r>
              <w:rPr>
                <w:rFonts w:hint="eastAsia" w:ascii="宋体" w:hAnsi="宋体" w:eastAsia="宋体" w:cs="仿宋"/>
                <w:kern w:val="0"/>
                <w:szCs w:val="21"/>
                <w:highlight w:val="none"/>
              </w:rPr>
              <w:t>分</w:t>
            </w:r>
          </w:p>
        </w:tc>
        <w:tc>
          <w:tcPr>
            <w:tcW w:w="900" w:type="dxa"/>
            <w:vMerge w:val="restart"/>
            <w:noWrap w:val="0"/>
            <w:vAlign w:val="top"/>
          </w:tcPr>
          <w:p>
            <w:pPr>
              <w:widowControl w:val="0"/>
              <w:jc w:val="both"/>
              <w:rPr>
                <w:rFonts w:hint="default" w:ascii="宋体" w:hAnsi="宋体" w:eastAsia="宋体" w:cs="仿宋"/>
                <w:kern w:val="2"/>
                <w:sz w:val="21"/>
                <w:szCs w:val="21"/>
                <w:highlight w:val="none"/>
                <w:lang w:val="en-US" w:eastAsia="zh-CN" w:bidi="ar-SA"/>
              </w:rPr>
            </w:pPr>
            <w:r>
              <w:rPr>
                <w:rFonts w:hint="eastAsia" w:ascii="宋体" w:hAnsi="宋体" w:cs="宋体"/>
                <w:color w:val="000000"/>
                <w:kern w:val="0"/>
                <w:szCs w:val="21"/>
                <w:highlight w:val="none"/>
                <w:lang w:val="en-US" w:eastAsia="zh-CN"/>
              </w:rPr>
              <w:t>见附录2：3、80、106。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365" w:lineRule="atLeast"/>
              <w:jc w:val="both"/>
              <w:rPr>
                <w:rFonts w:ascii="宋体" w:hAnsi="宋体" w:eastAsia="宋体" w:cs="Times New Roman"/>
                <w:szCs w:val="21"/>
                <w:highlight w:val="none"/>
              </w:rPr>
            </w:pPr>
          </w:p>
        </w:tc>
        <w:tc>
          <w:tcPr>
            <w:tcW w:w="695" w:type="dxa"/>
            <w:vMerge w:val="continue"/>
            <w:noWrap w:val="0"/>
            <w:vAlign w:val="top"/>
          </w:tcPr>
          <w:p>
            <w:pPr>
              <w:widowControl/>
              <w:spacing w:line="365" w:lineRule="atLeast"/>
              <w:jc w:val="both"/>
              <w:rPr>
                <w:rFonts w:ascii="宋体" w:hAnsi="宋体" w:eastAsia="宋体" w:cs="仿宋"/>
                <w:b/>
                <w:bCs/>
                <w:kern w:val="0"/>
                <w:szCs w:val="21"/>
                <w:highlight w:val="none"/>
              </w:rPr>
            </w:pPr>
          </w:p>
        </w:tc>
        <w:tc>
          <w:tcPr>
            <w:tcW w:w="968"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7</w:t>
            </w:r>
            <w:r>
              <w:rPr>
                <w:rFonts w:hint="eastAsia" w:ascii="宋体" w:hAnsi="宋体" w:eastAsia="宋体" w:cs="仿宋"/>
                <w:szCs w:val="21"/>
                <w:highlight w:val="none"/>
                <w:lang w:val="en-US" w:eastAsia="zh-CN"/>
              </w:rPr>
              <w:t>5</w:t>
            </w:r>
            <w:r>
              <w:rPr>
                <w:rFonts w:hint="eastAsia" w:ascii="宋体" w:hAnsi="宋体" w:eastAsia="宋体" w:cs="仿宋"/>
                <w:szCs w:val="21"/>
                <w:highlight w:val="none"/>
              </w:rPr>
              <w:t>.媒体参与健康科普</w:t>
            </w:r>
          </w:p>
        </w:tc>
        <w:tc>
          <w:tcPr>
            <w:tcW w:w="249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当地电视台、广播电台、报纸等当地主流媒体开设健康栏目，推广普及健康知识；县域主要新媒体开设健康栏目，传播健康知识与理念。</w:t>
            </w:r>
          </w:p>
        </w:tc>
        <w:tc>
          <w:tcPr>
            <w:tcW w:w="3095"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查阅资料：当地主流媒体和主要新媒体健康栏目工作档案和</w:t>
            </w:r>
            <w:r>
              <w:rPr>
                <w:rFonts w:hint="eastAsia" w:ascii="宋体" w:hAnsi="宋体" w:eastAsia="宋体" w:cs="仿宋"/>
                <w:szCs w:val="21"/>
                <w:highlight w:val="none"/>
                <w:lang w:val="en-US" w:eastAsia="zh-CN"/>
              </w:rPr>
              <w:t>记录</w:t>
            </w:r>
            <w:r>
              <w:rPr>
                <w:rFonts w:hint="eastAsia" w:ascii="宋体" w:hAnsi="宋体" w:eastAsia="宋体" w:cs="仿宋"/>
                <w:szCs w:val="21"/>
                <w:highlight w:val="none"/>
              </w:rPr>
              <w:t>。</w:t>
            </w:r>
          </w:p>
          <w:p>
            <w:pPr>
              <w:jc w:val="both"/>
              <w:rPr>
                <w:rFonts w:ascii="宋体" w:hAnsi="宋体" w:eastAsia="宋体" w:cs="仿宋"/>
                <w:szCs w:val="21"/>
                <w:highlight w:val="none"/>
              </w:rPr>
            </w:pPr>
            <w:r>
              <w:rPr>
                <w:rFonts w:hint="eastAsia" w:ascii="宋体" w:hAnsi="宋体" w:eastAsia="宋体" w:cs="仿宋"/>
                <w:szCs w:val="21"/>
                <w:highlight w:val="none"/>
              </w:rPr>
              <w:t>资料来源：当地电视台、广播电台、报纸、县域主要新媒体。</w:t>
            </w:r>
          </w:p>
        </w:tc>
        <w:tc>
          <w:tcPr>
            <w:tcW w:w="583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1.电视台开设健康栏目，得</w:t>
            </w:r>
            <w:r>
              <w:rPr>
                <w:rFonts w:hint="eastAsia" w:ascii="宋体" w:hAnsi="宋体" w:eastAsia="宋体" w:cs="仿宋"/>
                <w:szCs w:val="21"/>
                <w:highlight w:val="none"/>
                <w:lang w:val="en-US" w:eastAsia="zh-CN"/>
              </w:rPr>
              <w:t>5</w:t>
            </w:r>
            <w:r>
              <w:rPr>
                <w:rFonts w:hint="eastAsia" w:ascii="宋体" w:hAnsi="宋体" w:eastAsia="宋体" w:cs="仿宋"/>
                <w:szCs w:val="21"/>
                <w:highlight w:val="none"/>
              </w:rPr>
              <w:t>分；未开设</w:t>
            </w:r>
            <w:r>
              <w:rPr>
                <w:rFonts w:hint="eastAsia" w:ascii="宋体" w:hAnsi="宋体" w:cs="仿宋"/>
                <w:szCs w:val="21"/>
                <w:highlight w:val="none"/>
                <w:lang w:eastAsia="zh-CN"/>
              </w:rPr>
              <w:t>，</w:t>
            </w:r>
            <w:r>
              <w:rPr>
                <w:rFonts w:hint="eastAsia" w:ascii="宋体" w:hAnsi="宋体" w:eastAsia="宋体" w:cs="仿宋"/>
                <w:szCs w:val="21"/>
                <w:highlight w:val="none"/>
              </w:rPr>
              <w:t>不得分。</w:t>
            </w:r>
          </w:p>
          <w:p>
            <w:pPr>
              <w:jc w:val="both"/>
              <w:rPr>
                <w:rFonts w:ascii="宋体" w:hAnsi="宋体" w:eastAsia="宋体" w:cs="仿宋"/>
                <w:szCs w:val="21"/>
                <w:highlight w:val="none"/>
              </w:rPr>
            </w:pPr>
            <w:r>
              <w:rPr>
                <w:rFonts w:hint="eastAsia" w:ascii="宋体" w:hAnsi="宋体" w:eastAsia="宋体" w:cs="仿宋"/>
                <w:szCs w:val="21"/>
                <w:highlight w:val="none"/>
              </w:rPr>
              <w:t>2.广播电台开设健康栏目，得</w:t>
            </w:r>
            <w:r>
              <w:rPr>
                <w:rFonts w:hint="eastAsia" w:ascii="宋体" w:hAnsi="宋体" w:eastAsia="宋体" w:cs="仿宋"/>
                <w:szCs w:val="21"/>
                <w:highlight w:val="none"/>
                <w:lang w:val="en-US" w:eastAsia="zh-CN"/>
              </w:rPr>
              <w:t>5</w:t>
            </w:r>
            <w:r>
              <w:rPr>
                <w:rFonts w:hint="eastAsia" w:ascii="宋体" w:hAnsi="宋体" w:eastAsia="宋体" w:cs="仿宋"/>
                <w:szCs w:val="21"/>
                <w:highlight w:val="none"/>
              </w:rPr>
              <w:t>分；未开设</w:t>
            </w:r>
            <w:r>
              <w:rPr>
                <w:rFonts w:hint="eastAsia" w:ascii="宋体" w:hAnsi="宋体" w:cs="仿宋"/>
                <w:szCs w:val="21"/>
                <w:highlight w:val="none"/>
                <w:lang w:eastAsia="zh-CN"/>
              </w:rPr>
              <w:t>，</w:t>
            </w:r>
            <w:r>
              <w:rPr>
                <w:rFonts w:hint="eastAsia" w:ascii="宋体" w:hAnsi="宋体" w:eastAsia="宋体" w:cs="仿宋"/>
                <w:szCs w:val="21"/>
                <w:highlight w:val="none"/>
              </w:rPr>
              <w:t>不得分。</w:t>
            </w:r>
          </w:p>
          <w:p>
            <w:pPr>
              <w:jc w:val="both"/>
              <w:rPr>
                <w:rFonts w:ascii="宋体" w:hAnsi="宋体" w:eastAsia="宋体" w:cs="仿宋"/>
                <w:szCs w:val="21"/>
                <w:highlight w:val="none"/>
              </w:rPr>
            </w:pPr>
            <w:r>
              <w:rPr>
                <w:rFonts w:hint="eastAsia" w:ascii="宋体" w:hAnsi="宋体" w:eastAsia="宋体" w:cs="仿宋"/>
                <w:szCs w:val="21"/>
                <w:highlight w:val="none"/>
              </w:rPr>
              <w:t>3.县域主要新媒体开设健康栏目，得</w:t>
            </w:r>
            <w:r>
              <w:rPr>
                <w:rFonts w:hint="eastAsia" w:ascii="宋体" w:hAnsi="宋体" w:eastAsia="宋体" w:cs="仿宋"/>
                <w:szCs w:val="21"/>
                <w:highlight w:val="none"/>
                <w:lang w:val="en-US" w:eastAsia="zh-CN"/>
              </w:rPr>
              <w:t>5</w:t>
            </w:r>
            <w:r>
              <w:rPr>
                <w:rFonts w:hint="eastAsia" w:ascii="宋体" w:hAnsi="宋体" w:eastAsia="宋体" w:cs="仿宋"/>
                <w:szCs w:val="21"/>
                <w:highlight w:val="none"/>
              </w:rPr>
              <w:t>分；未开设</w:t>
            </w:r>
            <w:r>
              <w:rPr>
                <w:rFonts w:hint="eastAsia" w:ascii="宋体" w:hAnsi="宋体" w:cs="仿宋"/>
                <w:szCs w:val="21"/>
                <w:highlight w:val="none"/>
                <w:lang w:eastAsia="zh-CN"/>
              </w:rPr>
              <w:t>，</w:t>
            </w:r>
            <w:r>
              <w:rPr>
                <w:rFonts w:hint="eastAsia" w:ascii="宋体" w:hAnsi="宋体" w:eastAsia="宋体" w:cs="仿宋"/>
                <w:szCs w:val="21"/>
                <w:highlight w:val="none"/>
              </w:rPr>
              <w:t>不得分。</w:t>
            </w:r>
          </w:p>
          <w:p>
            <w:pPr>
              <w:jc w:val="both"/>
              <w:rPr>
                <w:rFonts w:ascii="宋体" w:hAnsi="宋体" w:eastAsia="宋体" w:cs="仿宋"/>
                <w:szCs w:val="21"/>
                <w:highlight w:val="none"/>
              </w:rPr>
            </w:pPr>
            <w:r>
              <w:rPr>
                <w:rFonts w:hint="eastAsia" w:ascii="宋体" w:hAnsi="宋体" w:eastAsia="宋体" w:cs="仿宋"/>
                <w:szCs w:val="21"/>
                <w:highlight w:val="none"/>
              </w:rPr>
              <w:t>该指标满分为1</w:t>
            </w:r>
            <w:r>
              <w:rPr>
                <w:rFonts w:hint="eastAsia" w:ascii="宋体" w:hAnsi="宋体" w:eastAsia="宋体" w:cs="仿宋"/>
                <w:szCs w:val="21"/>
                <w:highlight w:val="none"/>
                <w:lang w:val="en-US" w:eastAsia="zh-CN"/>
              </w:rPr>
              <w:t>5</w:t>
            </w:r>
            <w:r>
              <w:rPr>
                <w:rFonts w:hint="eastAsia" w:ascii="宋体" w:hAnsi="宋体" w:eastAsia="宋体" w:cs="仿宋"/>
                <w:szCs w:val="21"/>
                <w:highlight w:val="none"/>
              </w:rPr>
              <w:t>分。</w:t>
            </w:r>
          </w:p>
        </w:tc>
        <w:tc>
          <w:tcPr>
            <w:tcW w:w="696" w:type="dxa"/>
            <w:noWrap w:val="0"/>
            <w:vAlign w:val="top"/>
          </w:tcPr>
          <w:p>
            <w:pPr>
              <w:widowControl/>
              <w:spacing w:line="365" w:lineRule="atLeast"/>
              <w:jc w:val="both"/>
              <w:rPr>
                <w:rFonts w:ascii="宋体" w:hAnsi="宋体" w:eastAsia="宋体" w:cs="仿宋"/>
                <w:bCs/>
                <w:kern w:val="0"/>
                <w:szCs w:val="21"/>
                <w:highlight w:val="none"/>
              </w:rPr>
            </w:pPr>
            <w:r>
              <w:rPr>
                <w:rFonts w:hint="eastAsia" w:ascii="宋体" w:hAnsi="宋体" w:eastAsia="宋体" w:cs="仿宋"/>
                <w:bCs/>
                <w:kern w:val="0"/>
                <w:szCs w:val="21"/>
                <w:highlight w:val="none"/>
              </w:rPr>
              <w:t>1</w:t>
            </w:r>
            <w:r>
              <w:rPr>
                <w:rFonts w:hint="eastAsia" w:ascii="宋体" w:hAnsi="宋体" w:eastAsia="宋体" w:cs="仿宋"/>
                <w:bCs/>
                <w:kern w:val="0"/>
                <w:szCs w:val="21"/>
                <w:highlight w:val="none"/>
                <w:lang w:val="en-US" w:eastAsia="zh-CN"/>
              </w:rPr>
              <w:t>5</w:t>
            </w:r>
            <w:r>
              <w:rPr>
                <w:rFonts w:hint="eastAsia" w:ascii="宋体" w:hAnsi="宋体" w:eastAsia="宋体" w:cs="仿宋"/>
                <w:bCs/>
                <w:kern w:val="0"/>
                <w:szCs w:val="21"/>
                <w:highlight w:val="none"/>
              </w:rPr>
              <w:t>分</w:t>
            </w:r>
          </w:p>
        </w:tc>
        <w:tc>
          <w:tcPr>
            <w:tcW w:w="900" w:type="dxa"/>
            <w:vMerge w:val="continue"/>
            <w:noWrap w:val="0"/>
            <w:vAlign w:val="top"/>
          </w:tcPr>
          <w:p>
            <w:pPr>
              <w:widowControl/>
              <w:spacing w:line="365" w:lineRule="atLeast"/>
              <w:jc w:val="both"/>
              <w:rPr>
                <w:rFonts w:ascii="宋体" w:hAnsi="宋体" w:eastAsia="宋体" w:cs="仿宋"/>
                <w:bCs/>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spacing w:line="400" w:lineRule="atLeast"/>
              <w:jc w:val="both"/>
              <w:rPr>
                <w:rFonts w:ascii="宋体" w:hAnsi="宋体" w:eastAsia="宋体" w:cs="Times New Roman"/>
                <w:szCs w:val="21"/>
                <w:highlight w:val="none"/>
              </w:rPr>
            </w:pPr>
          </w:p>
        </w:tc>
        <w:tc>
          <w:tcPr>
            <w:tcW w:w="695" w:type="dxa"/>
            <w:vMerge w:val="restart"/>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第二十九条</w:t>
            </w:r>
          </w:p>
        </w:tc>
        <w:tc>
          <w:tcPr>
            <w:tcW w:w="968"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lang w:val="en-US" w:eastAsia="zh-CN"/>
              </w:rPr>
              <w:t>76</w:t>
            </w:r>
            <w:r>
              <w:rPr>
                <w:rFonts w:hint="eastAsia" w:ascii="宋体" w:hAnsi="宋体" w:eastAsia="宋体" w:cs="仿宋"/>
                <w:szCs w:val="21"/>
                <w:highlight w:val="none"/>
              </w:rPr>
              <w:t>.健康教育课程</w:t>
            </w:r>
          </w:p>
        </w:tc>
        <w:tc>
          <w:tcPr>
            <w:tcW w:w="2496"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rPr>
              <w:t>辖区各类学校开设体育与健康课程，保障健康教育课时。与各学科教学有机融合，做到教学计划、教学材料、课时、师资“四到位”。</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现场抽查：随机抽取1个小学和1个中学，查看健康教育课落实情况。</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被抽查的学校中：</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1.健康教育纳入课程计划，得</w:t>
            </w:r>
            <w:r>
              <w:rPr>
                <w:rFonts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分；</w:t>
            </w:r>
            <w:r>
              <w:rPr>
                <w:rFonts w:hint="eastAsia" w:ascii="宋体" w:hAnsi="宋体" w:cs="仿宋"/>
                <w:kern w:val="2"/>
                <w:sz w:val="21"/>
                <w:szCs w:val="21"/>
                <w:highlight w:val="none"/>
                <w:lang w:val="en-US" w:eastAsia="zh-CN" w:bidi="ar-SA"/>
              </w:rPr>
              <w:t>未</w:t>
            </w:r>
            <w:r>
              <w:rPr>
                <w:rFonts w:hint="eastAsia" w:ascii="宋体" w:hAnsi="宋体" w:eastAsia="宋体" w:cs="仿宋"/>
                <w:kern w:val="2"/>
                <w:sz w:val="21"/>
                <w:szCs w:val="21"/>
                <w:highlight w:val="none"/>
                <w:lang w:val="en-US" w:eastAsia="zh-CN" w:bidi="ar-SA"/>
              </w:rPr>
              <w:t>纳入</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2.有专兼职健康教育师资，得</w:t>
            </w:r>
            <w:r>
              <w:rPr>
                <w:rFonts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分；无师资</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3.有健康教育教学材料，得</w:t>
            </w:r>
            <w:r>
              <w:rPr>
                <w:rFonts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分；无教学材料</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4.体现有健康教育的学科渗透（在生物、道德法制、劳动等课程中），得</w:t>
            </w:r>
            <w:r>
              <w:rPr>
                <w:rFonts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分；未体现</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5.落实每学期4课时健康教育，得</w:t>
            </w:r>
            <w:r>
              <w:rPr>
                <w:rFonts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分；未落实</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6.开展学生健康教育课考试或测评，得</w:t>
            </w:r>
            <w:r>
              <w:rPr>
                <w:rFonts w:ascii="宋体" w:hAnsi="宋体" w:eastAsia="宋体" w:cs="仿宋"/>
                <w:kern w:val="2"/>
                <w:sz w:val="21"/>
                <w:szCs w:val="21"/>
                <w:highlight w:val="none"/>
                <w:lang w:val="en-US" w:eastAsia="zh-CN" w:bidi="ar-SA"/>
              </w:rPr>
              <w:t>2</w:t>
            </w:r>
            <w:r>
              <w:rPr>
                <w:rFonts w:hint="eastAsia" w:ascii="宋体" w:hAnsi="宋体" w:eastAsia="宋体" w:cs="仿宋"/>
                <w:kern w:val="2"/>
                <w:sz w:val="21"/>
                <w:szCs w:val="21"/>
                <w:highlight w:val="none"/>
                <w:lang w:val="en-US" w:eastAsia="zh-CN" w:bidi="ar-SA"/>
              </w:rPr>
              <w:t>分；未开展</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2个抽查学校满分为</w:t>
            </w:r>
            <w:r>
              <w:rPr>
                <w:rFonts w:ascii="宋体" w:hAnsi="宋体" w:eastAsia="宋体" w:cs="仿宋"/>
                <w:kern w:val="2"/>
                <w:sz w:val="21"/>
                <w:szCs w:val="21"/>
                <w:highlight w:val="none"/>
                <w:lang w:val="en-US" w:eastAsia="zh-CN" w:bidi="ar-SA"/>
              </w:rPr>
              <w:t>14</w:t>
            </w:r>
            <w:r>
              <w:rPr>
                <w:rFonts w:hint="eastAsia" w:ascii="宋体" w:hAnsi="宋体" w:eastAsia="宋体" w:cs="仿宋"/>
                <w:kern w:val="2"/>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Times New Roman"/>
                <w:szCs w:val="21"/>
                <w:highlight w:val="none"/>
              </w:rPr>
            </w:pPr>
            <w:r>
              <w:rPr>
                <w:rFonts w:ascii="宋体" w:hAnsi="宋体" w:eastAsia="宋体" w:cs="仿宋"/>
                <w:kern w:val="0"/>
                <w:szCs w:val="21"/>
                <w:highlight w:val="none"/>
              </w:rPr>
              <w:t>14</w:t>
            </w:r>
            <w:r>
              <w:rPr>
                <w:rFonts w:hint="eastAsia" w:ascii="宋体" w:hAnsi="宋体" w:eastAsia="宋体" w:cs="仿宋"/>
                <w:kern w:val="0"/>
                <w:szCs w:val="21"/>
                <w:highlight w:val="none"/>
              </w:rPr>
              <w:t>分</w:t>
            </w:r>
          </w:p>
        </w:tc>
        <w:tc>
          <w:tcPr>
            <w:tcW w:w="900" w:type="dxa"/>
            <w:vMerge w:val="restart"/>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cs="宋体"/>
                <w:color w:val="000000"/>
                <w:kern w:val="0"/>
                <w:szCs w:val="21"/>
                <w:highlight w:val="none"/>
                <w:lang w:val="en-US" w:eastAsia="zh-CN"/>
              </w:rPr>
              <w:t>见附录2：70、111、112、113。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widowControl/>
              <w:spacing w:line="400" w:lineRule="atLeast"/>
              <w:jc w:val="both"/>
              <w:textAlignment w:val="center"/>
              <w:rPr>
                <w:rFonts w:ascii="宋体" w:hAnsi="宋体" w:eastAsia="宋体" w:cs="仿宋"/>
                <w:kern w:val="0"/>
                <w:szCs w:val="21"/>
                <w:highlight w:val="none"/>
              </w:rPr>
            </w:pPr>
          </w:p>
        </w:tc>
        <w:tc>
          <w:tcPr>
            <w:tcW w:w="968" w:type="dxa"/>
            <w:noWrap w:val="0"/>
            <w:vAlign w:val="top"/>
          </w:tcPr>
          <w:p>
            <w:pPr>
              <w:jc w:val="both"/>
              <w:rPr>
                <w:rFonts w:ascii="宋体" w:hAnsi="宋体" w:eastAsia="宋体" w:cs="仿宋"/>
                <w:szCs w:val="21"/>
                <w:highlight w:val="none"/>
              </w:rPr>
            </w:pPr>
            <w:r>
              <w:rPr>
                <w:rFonts w:hint="eastAsia" w:ascii="宋体" w:hAnsi="宋体" w:eastAsia="宋体" w:cs="仿宋"/>
                <w:szCs w:val="21"/>
                <w:highlight w:val="none"/>
                <w:lang w:val="en-US" w:eastAsia="zh-CN"/>
              </w:rPr>
              <w:t>77</w:t>
            </w:r>
            <w:r>
              <w:rPr>
                <w:rFonts w:hint="eastAsia" w:ascii="宋体" w:hAnsi="宋体" w:eastAsia="宋体" w:cs="仿宋"/>
                <w:szCs w:val="21"/>
                <w:highlight w:val="none"/>
              </w:rPr>
              <w:t>.学校健康教育活动</w:t>
            </w:r>
          </w:p>
        </w:tc>
        <w:tc>
          <w:tcPr>
            <w:tcW w:w="24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依托健康主题健康教育，结合重要活动和时间节点，通过课堂、讲座、知识竞赛、主题班队会等，以及电子屏、宣传栏、健康标识等多种形式、多种渠道向学生教授健康知识和技能，提高学生健康素养，引导学生养成健康生活方式。</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现场抽查：随机抽取1个小学和1个中学，查看健康教育活动开展情况。</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被抽查的学校中：</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1.每学期健康教育活动≥4次，得</w:t>
            </w:r>
            <w:r>
              <w:rPr>
                <w:rFonts w:hint="default" w:ascii="宋体" w:hAnsi="宋体" w:eastAsia="宋体" w:cs="仿宋"/>
                <w:kern w:val="2"/>
                <w:sz w:val="21"/>
                <w:szCs w:val="21"/>
                <w:highlight w:val="none"/>
                <w:lang w:val="en-US" w:eastAsia="zh-CN" w:bidi="ar-SA"/>
              </w:rPr>
              <w:t>2</w:t>
            </w:r>
            <w:r>
              <w:rPr>
                <w:rFonts w:hint="eastAsia" w:ascii="宋体" w:hAnsi="宋体" w:eastAsia="宋体" w:cs="仿宋"/>
                <w:kern w:val="2"/>
                <w:sz w:val="21"/>
                <w:szCs w:val="21"/>
                <w:highlight w:val="none"/>
                <w:lang w:val="en-US" w:eastAsia="zh-CN" w:bidi="ar-SA"/>
              </w:rPr>
              <w:t>分；＜4次，得</w:t>
            </w:r>
            <w:r>
              <w:rPr>
                <w:rFonts w:hint="default"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分；未开展</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2.学生社团、志愿者开展卫生健康知识宣传教育，得</w:t>
            </w:r>
            <w:r>
              <w:rPr>
                <w:rFonts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分；未开展</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3.利用网络或新媒体开展健康教育，得</w:t>
            </w:r>
            <w:r>
              <w:rPr>
                <w:rFonts w:hint="default"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分；未开展</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2个抽查学校满分为</w:t>
            </w:r>
            <w:r>
              <w:rPr>
                <w:rFonts w:hint="default" w:ascii="宋体" w:hAnsi="宋体" w:eastAsia="宋体" w:cs="仿宋"/>
                <w:kern w:val="2"/>
                <w:sz w:val="21"/>
                <w:szCs w:val="21"/>
                <w:highlight w:val="none"/>
                <w:lang w:val="en-US" w:eastAsia="zh-CN" w:bidi="ar-SA"/>
              </w:rPr>
              <w:t>8</w:t>
            </w:r>
            <w:r>
              <w:rPr>
                <w:rFonts w:hint="eastAsia" w:ascii="宋体" w:hAnsi="宋体" w:eastAsia="宋体" w:cs="仿宋"/>
                <w:kern w:val="2"/>
                <w:sz w:val="21"/>
                <w:szCs w:val="21"/>
                <w:highlight w:val="none"/>
                <w:lang w:val="en-US" w:eastAsia="zh-CN" w:bidi="ar-SA"/>
              </w:rPr>
              <w:t>分。</w:t>
            </w:r>
          </w:p>
        </w:tc>
        <w:tc>
          <w:tcPr>
            <w:tcW w:w="696" w:type="dxa"/>
            <w:noWrap w:val="0"/>
            <w:vAlign w:val="top"/>
          </w:tcPr>
          <w:p>
            <w:pPr>
              <w:widowControl/>
              <w:spacing w:line="400" w:lineRule="atLeast"/>
              <w:jc w:val="both"/>
              <w:rPr>
                <w:rFonts w:ascii="宋体" w:hAnsi="宋体" w:eastAsia="宋体" w:cs="仿宋"/>
                <w:kern w:val="0"/>
                <w:szCs w:val="21"/>
                <w:highlight w:val="none"/>
              </w:rPr>
            </w:pPr>
            <w:r>
              <w:rPr>
                <w:rFonts w:hint="default" w:ascii="宋体" w:hAnsi="宋体" w:eastAsia="宋体" w:cs="仿宋"/>
                <w:kern w:val="0"/>
                <w:szCs w:val="21"/>
                <w:highlight w:val="none"/>
                <w:lang w:val="en-US"/>
              </w:rPr>
              <w:t>8</w:t>
            </w:r>
            <w:r>
              <w:rPr>
                <w:rFonts w:hint="eastAsia" w:ascii="宋体" w:hAnsi="宋体" w:eastAsia="宋体" w:cs="仿宋"/>
                <w:kern w:val="0"/>
                <w:szCs w:val="21"/>
                <w:highlight w:val="none"/>
              </w:rPr>
              <w:t>分</w:t>
            </w:r>
          </w:p>
        </w:tc>
        <w:tc>
          <w:tcPr>
            <w:tcW w:w="900" w:type="dxa"/>
            <w:vMerge w:val="continue"/>
            <w:noWrap w:val="0"/>
            <w:vAlign w:val="top"/>
          </w:tcPr>
          <w:p>
            <w:pPr>
              <w:widowControl/>
              <w:spacing w:line="400" w:lineRule="atLeast"/>
              <w:jc w:val="both"/>
              <w:rPr>
                <w:rFonts w:ascii="宋体" w:hAnsi="宋体" w:eastAsia="宋体" w:cs="仿宋"/>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widowControl/>
              <w:spacing w:line="400" w:lineRule="atLeast"/>
              <w:jc w:val="both"/>
              <w:rPr>
                <w:rFonts w:ascii="宋体" w:hAnsi="宋体" w:eastAsia="宋体" w:cs="仿宋"/>
                <w:kern w:val="0"/>
                <w:szCs w:val="21"/>
                <w:highlight w:val="none"/>
              </w:rPr>
            </w:pPr>
          </w:p>
        </w:tc>
        <w:tc>
          <w:tcPr>
            <w:tcW w:w="968"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78.学生健康水平</w:t>
            </w:r>
          </w:p>
        </w:tc>
        <w:tc>
          <w:tcPr>
            <w:tcW w:w="24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学生体质健康水平提高，近视、肥胖等不良健康状况有明显改善。</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现场抽查：随机抽取1个小学和1个中学，查看学生体质情况。</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被抽查的学校中；</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1.近3年内，近视发生率逐年下降，得3分；未下降</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2.近3年内，肥胖发生率逐年下降，得3分；未下降</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3.近3年内，学生体质健康达标优良率逐年上升，得3分；未逐年上升</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2个抽查学校满分为18分。</w:t>
            </w:r>
          </w:p>
        </w:tc>
        <w:tc>
          <w:tcPr>
            <w:tcW w:w="696" w:type="dxa"/>
            <w:noWrap w:val="0"/>
            <w:vAlign w:val="top"/>
          </w:tcPr>
          <w:p>
            <w:pPr>
              <w:widowControl/>
              <w:spacing w:line="400" w:lineRule="atLeast"/>
              <w:jc w:val="both"/>
              <w:rPr>
                <w:rFonts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8分</w:t>
            </w:r>
          </w:p>
        </w:tc>
        <w:tc>
          <w:tcPr>
            <w:tcW w:w="900" w:type="dxa"/>
            <w:vMerge w:val="continue"/>
            <w:noWrap w:val="0"/>
            <w:vAlign w:val="top"/>
          </w:tcPr>
          <w:p>
            <w:pPr>
              <w:widowControl/>
              <w:spacing w:line="400" w:lineRule="atLeast"/>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restart"/>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第三十条</w:t>
            </w:r>
          </w:p>
        </w:tc>
        <w:tc>
          <w:tcPr>
            <w:tcW w:w="968"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79.健身场地设施供给</w:t>
            </w:r>
          </w:p>
        </w:tc>
        <w:tc>
          <w:tcPr>
            <w:tcW w:w="24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加大全民健身场地设施供给，推进公共体育设施免费或低收费开放，实现县乡村三级公共健身设施和社区15分钟健身圈全覆盖。</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查阅资料：国家体育场地统计调查系统；公共体育场地设施免费或低收费开放文件等。</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资料来源：相关部门。</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现场抽查：随机抽查1处公共体育设施，询问其收费情况。</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1.人均体育场地面积≥2</w:t>
            </w:r>
            <w:r>
              <w:rPr>
                <w:rFonts w:ascii="宋体" w:hAnsi="宋体" w:eastAsia="宋体" w:cs="仿宋"/>
                <w:kern w:val="2"/>
                <w:sz w:val="21"/>
                <w:szCs w:val="21"/>
                <w:highlight w:val="none"/>
                <w:lang w:val="en-US" w:eastAsia="zh-CN" w:bidi="ar-SA"/>
              </w:rPr>
              <w:t>.3平方米</w:t>
            </w:r>
            <w:r>
              <w:rPr>
                <w:rFonts w:hint="eastAsia" w:ascii="宋体" w:hAnsi="宋体" w:eastAsia="宋体" w:cs="仿宋"/>
                <w:kern w:val="2"/>
                <w:sz w:val="21"/>
                <w:szCs w:val="21"/>
                <w:highlight w:val="none"/>
                <w:lang w:val="en-US" w:eastAsia="zh-CN" w:bidi="ar-SA"/>
              </w:rPr>
              <w:t>，得</w:t>
            </w:r>
            <w:r>
              <w:rPr>
                <w:rFonts w:hint="default" w:ascii="宋体" w:hAnsi="宋体" w:eastAsia="宋体" w:cs="仿宋"/>
                <w:kern w:val="2"/>
                <w:sz w:val="21"/>
                <w:szCs w:val="21"/>
                <w:highlight w:val="none"/>
                <w:lang w:val="en-US" w:eastAsia="zh-CN" w:bidi="ar-SA"/>
              </w:rPr>
              <w:t>6</w:t>
            </w:r>
            <w:r>
              <w:rPr>
                <w:rFonts w:hint="eastAsia" w:ascii="宋体" w:hAnsi="宋体" w:eastAsia="宋体" w:cs="仿宋"/>
                <w:kern w:val="2"/>
                <w:sz w:val="21"/>
                <w:szCs w:val="21"/>
                <w:highlight w:val="none"/>
                <w:lang w:val="en-US" w:eastAsia="zh-CN" w:bidi="ar-SA"/>
              </w:rPr>
              <w:t>分；每低0.1平方米扣0.</w:t>
            </w:r>
            <w:r>
              <w:rPr>
                <w:rFonts w:ascii="宋体" w:hAnsi="宋体" w:eastAsia="宋体" w:cs="仿宋"/>
                <w:kern w:val="2"/>
                <w:sz w:val="21"/>
                <w:szCs w:val="21"/>
                <w:highlight w:val="none"/>
                <w:lang w:val="en-US" w:eastAsia="zh-CN" w:bidi="ar-SA"/>
              </w:rPr>
              <w:t>4</w:t>
            </w:r>
            <w:r>
              <w:rPr>
                <w:rFonts w:hint="eastAsia" w:ascii="宋体" w:hAnsi="宋体" w:eastAsia="宋体" w:cs="仿宋"/>
                <w:kern w:val="2"/>
                <w:sz w:val="21"/>
                <w:szCs w:val="21"/>
                <w:highlight w:val="none"/>
                <w:lang w:val="en-US" w:eastAsia="zh-CN" w:bidi="ar-SA"/>
              </w:rPr>
              <w:t>分，扣完</w:t>
            </w:r>
            <w:r>
              <w:rPr>
                <w:rFonts w:hint="default" w:ascii="宋体" w:hAnsi="宋体" w:eastAsia="宋体" w:cs="仿宋"/>
                <w:kern w:val="2"/>
                <w:sz w:val="21"/>
                <w:szCs w:val="21"/>
                <w:highlight w:val="none"/>
                <w:lang w:val="en-US" w:eastAsia="zh-CN" w:bidi="ar-SA"/>
              </w:rPr>
              <w:t>6</w:t>
            </w:r>
            <w:r>
              <w:rPr>
                <w:rFonts w:hint="eastAsia" w:ascii="宋体" w:hAnsi="宋体" w:eastAsia="宋体" w:cs="仿宋"/>
                <w:kern w:val="2"/>
                <w:sz w:val="21"/>
                <w:szCs w:val="21"/>
                <w:highlight w:val="none"/>
                <w:lang w:val="en-US" w:eastAsia="zh-CN" w:bidi="ar-SA"/>
              </w:rPr>
              <w:t>分为止。</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2.被抽查的公共体育设施，有免费或低收费开放的措施，得</w:t>
            </w:r>
            <w:r>
              <w:rPr>
                <w:rFonts w:hint="default" w:ascii="宋体" w:hAnsi="宋体" w:eastAsia="宋体" w:cs="仿宋"/>
                <w:kern w:val="2"/>
                <w:sz w:val="21"/>
                <w:szCs w:val="21"/>
                <w:highlight w:val="none"/>
                <w:lang w:val="en-US" w:eastAsia="zh-CN" w:bidi="ar-SA"/>
              </w:rPr>
              <w:t>2</w:t>
            </w:r>
            <w:r>
              <w:rPr>
                <w:rFonts w:hint="eastAsia" w:ascii="宋体" w:hAnsi="宋体" w:eastAsia="宋体" w:cs="仿宋"/>
                <w:kern w:val="2"/>
                <w:sz w:val="21"/>
                <w:szCs w:val="21"/>
                <w:highlight w:val="none"/>
                <w:lang w:val="en-US" w:eastAsia="zh-CN" w:bidi="ar-SA"/>
              </w:rPr>
              <w:t>分；</w:t>
            </w:r>
            <w:r>
              <w:rPr>
                <w:rFonts w:hint="eastAsia" w:ascii="宋体" w:hAnsi="宋体" w:cs="仿宋"/>
                <w:kern w:val="2"/>
                <w:sz w:val="21"/>
                <w:szCs w:val="21"/>
                <w:highlight w:val="none"/>
                <w:lang w:val="en-US" w:eastAsia="zh-CN" w:bidi="ar-SA"/>
              </w:rPr>
              <w:t>无相关措施，</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该指标满分为</w:t>
            </w:r>
            <w:r>
              <w:rPr>
                <w:rFonts w:ascii="宋体" w:hAnsi="宋体" w:eastAsia="宋体" w:cs="仿宋"/>
                <w:kern w:val="2"/>
                <w:sz w:val="21"/>
                <w:szCs w:val="21"/>
                <w:highlight w:val="none"/>
                <w:lang w:val="en-US" w:eastAsia="zh-CN" w:bidi="ar-SA"/>
              </w:rPr>
              <w:t>8</w:t>
            </w:r>
            <w:r>
              <w:rPr>
                <w:rFonts w:hint="eastAsia" w:ascii="宋体" w:hAnsi="宋体" w:eastAsia="宋体" w:cs="仿宋"/>
                <w:kern w:val="2"/>
                <w:sz w:val="21"/>
                <w:szCs w:val="21"/>
                <w:highlight w:val="none"/>
                <w:lang w:val="en-US" w:eastAsia="zh-CN" w:bidi="ar-SA"/>
              </w:rPr>
              <w:t>分。</w:t>
            </w:r>
          </w:p>
        </w:tc>
        <w:tc>
          <w:tcPr>
            <w:tcW w:w="6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default" w:ascii="宋体" w:hAnsi="宋体" w:eastAsia="宋体" w:cs="仿宋"/>
                <w:kern w:val="2"/>
                <w:sz w:val="21"/>
                <w:szCs w:val="21"/>
                <w:highlight w:val="none"/>
                <w:lang w:val="en-US" w:eastAsia="zh-CN" w:bidi="ar-SA"/>
              </w:rPr>
              <w:t>8</w:t>
            </w:r>
            <w:r>
              <w:rPr>
                <w:rFonts w:hint="eastAsia" w:ascii="宋体" w:hAnsi="宋体" w:eastAsia="宋体" w:cs="仿宋"/>
                <w:kern w:val="2"/>
                <w:sz w:val="21"/>
                <w:szCs w:val="21"/>
                <w:highlight w:val="none"/>
                <w:lang w:val="en-US" w:eastAsia="zh-CN" w:bidi="ar-SA"/>
              </w:rPr>
              <w:t>分</w:t>
            </w:r>
          </w:p>
        </w:tc>
        <w:tc>
          <w:tcPr>
            <w:tcW w:w="900" w:type="dxa"/>
            <w:vMerge w:val="restart"/>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cs="宋体"/>
                <w:color w:val="000000"/>
                <w:kern w:val="0"/>
                <w:szCs w:val="21"/>
                <w:highlight w:val="none"/>
                <w:lang w:val="en-US" w:eastAsia="zh-CN"/>
              </w:rPr>
              <w:t>见附录2：4。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widowControl w:val="0"/>
              <w:jc w:val="both"/>
              <w:rPr>
                <w:rFonts w:ascii="宋体" w:hAnsi="宋体" w:eastAsia="宋体" w:cs="仿宋"/>
                <w:kern w:val="2"/>
                <w:sz w:val="21"/>
                <w:szCs w:val="21"/>
                <w:highlight w:val="none"/>
                <w:lang w:val="en-US" w:eastAsia="zh-CN" w:bidi="ar-SA"/>
              </w:rPr>
            </w:pPr>
          </w:p>
        </w:tc>
        <w:tc>
          <w:tcPr>
            <w:tcW w:w="968" w:type="dxa"/>
            <w:noWrap w:val="0"/>
            <w:vAlign w:val="top"/>
          </w:tcPr>
          <w:p>
            <w:pPr>
              <w:widowControl w:val="0"/>
              <w:jc w:val="both"/>
              <w:rPr>
                <w:rFonts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8</w:t>
            </w:r>
            <w:r>
              <w:rPr>
                <w:rFonts w:hint="eastAsia" w:ascii="宋体" w:hAnsi="宋体" w:eastAsia="宋体" w:cs="仿宋"/>
                <w:kern w:val="2"/>
                <w:sz w:val="21"/>
                <w:szCs w:val="21"/>
                <w:highlight w:val="none"/>
                <w:lang w:val="en-US" w:eastAsia="zh-CN" w:bidi="ar-SA"/>
              </w:rPr>
              <w:t>0.群众体育赛事活动</w:t>
            </w:r>
          </w:p>
        </w:tc>
        <w:tc>
          <w:tcPr>
            <w:tcW w:w="24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由县级及以上的体育主管部门或体育社会组织主办（承办）的群众性体育赛事和活动。</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查阅资料：体育赛事和活动相关资料。</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资料来源：相关部门。</w:t>
            </w:r>
          </w:p>
        </w:tc>
        <w:tc>
          <w:tcPr>
            <w:tcW w:w="5836" w:type="dxa"/>
            <w:noWrap w:val="0"/>
            <w:vAlign w:val="top"/>
          </w:tcPr>
          <w:p>
            <w:pPr>
              <w:widowControl w:val="0"/>
              <w:jc w:val="both"/>
              <w:rPr>
                <w:rFonts w:hint="eastAsia"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年内</w:t>
            </w:r>
            <w:r>
              <w:rPr>
                <w:rFonts w:ascii="宋体" w:hAnsi="宋体" w:eastAsia="宋体" w:cs="仿宋"/>
                <w:kern w:val="2"/>
                <w:sz w:val="21"/>
                <w:szCs w:val="21"/>
                <w:highlight w:val="none"/>
                <w:lang w:val="en-US" w:eastAsia="zh-CN" w:bidi="ar-SA"/>
              </w:rPr>
              <w:t>举办县级及以上的体育赛事或活动</w:t>
            </w:r>
            <w:r>
              <w:rPr>
                <w:rFonts w:hint="eastAsia" w:ascii="宋体" w:hAnsi="宋体" w:eastAsia="宋体" w:cs="仿宋"/>
                <w:kern w:val="2"/>
                <w:sz w:val="21"/>
                <w:szCs w:val="21"/>
                <w:highlight w:val="none"/>
                <w:lang w:val="en-US" w:eastAsia="zh-CN" w:bidi="ar-SA"/>
              </w:rPr>
              <w:t>，每举办1次得2分，满分为10分。</w:t>
            </w:r>
          </w:p>
        </w:tc>
        <w:tc>
          <w:tcPr>
            <w:tcW w:w="6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10分</w:t>
            </w:r>
          </w:p>
        </w:tc>
        <w:tc>
          <w:tcPr>
            <w:tcW w:w="900" w:type="dxa"/>
            <w:vMerge w:val="continue"/>
            <w:noWrap w:val="0"/>
            <w:vAlign w:val="top"/>
          </w:tcPr>
          <w:p>
            <w:pPr>
              <w:widowControl w:val="0"/>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restart"/>
            <w:noWrap w:val="0"/>
            <w:vAlign w:val="top"/>
          </w:tcPr>
          <w:p>
            <w:pPr>
              <w:widowControl/>
              <w:jc w:val="both"/>
              <w:rPr>
                <w:rFonts w:ascii="宋体" w:hAnsi="宋体" w:eastAsia="宋体" w:cs="Arial"/>
                <w:kern w:val="0"/>
                <w:szCs w:val="21"/>
                <w:highlight w:val="none"/>
              </w:rPr>
            </w:pPr>
            <w:r>
              <w:rPr>
                <w:rFonts w:hint="eastAsia" w:ascii="宋体" w:hAnsi="宋体" w:eastAsia="宋体" w:cs="仿宋"/>
                <w:szCs w:val="21"/>
                <w:highlight w:val="none"/>
              </w:rPr>
              <w:t>第三十一条</w:t>
            </w:r>
          </w:p>
        </w:tc>
        <w:tc>
          <w:tcPr>
            <w:tcW w:w="968" w:type="dxa"/>
            <w:noWrap w:val="0"/>
            <w:vAlign w:val="top"/>
          </w:tcPr>
          <w:p>
            <w:pPr>
              <w:widowControl w:val="0"/>
              <w:jc w:val="both"/>
              <w:rPr>
                <w:rFonts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8</w:t>
            </w:r>
            <w:r>
              <w:rPr>
                <w:rFonts w:hint="eastAsia" w:ascii="宋体" w:hAnsi="宋体" w:eastAsia="宋体" w:cs="仿宋"/>
                <w:kern w:val="2"/>
                <w:sz w:val="21"/>
                <w:szCs w:val="21"/>
                <w:highlight w:val="none"/>
                <w:lang w:val="en-US" w:eastAsia="zh-CN" w:bidi="ar-SA"/>
              </w:rPr>
              <w:t>1</w:t>
            </w:r>
            <w:r>
              <w:rPr>
                <w:rFonts w:ascii="宋体" w:hAnsi="宋体" w:eastAsia="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无烟环境建设</w:t>
            </w:r>
          </w:p>
        </w:tc>
        <w:tc>
          <w:tcPr>
            <w:tcW w:w="24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出台无烟环境建设相关文件，推动辖区室内公共场所、工作场所和公共交通工具全面禁烟。</w:t>
            </w:r>
            <w:r>
              <w:rPr>
                <w:rFonts w:ascii="宋体" w:hAnsi="宋体" w:eastAsia="宋体" w:cs="仿宋"/>
                <w:kern w:val="2"/>
                <w:sz w:val="21"/>
                <w:szCs w:val="21"/>
                <w:highlight w:val="none"/>
                <w:lang w:val="en-US" w:eastAsia="zh-CN" w:bidi="ar-SA"/>
              </w:rPr>
              <w:t>各级党政机关建设成无烟机关，推进无烟学校、无烟医院等无烟场所建设。</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查阅资料：无烟环境建设相关资料。</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资料来源：文件印发部门。</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现场抽查：随机抽取2家党政机关、1个小学和1个中学、1家县级医院和1家乡镇卫生院，了解无烟单位建设情况。</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1.出台</w:t>
            </w:r>
            <w:r>
              <w:rPr>
                <w:rFonts w:hint="eastAsia" w:ascii="宋体" w:hAnsi="宋体" w:eastAsia="宋体" w:cs="仿宋"/>
                <w:kern w:val="2"/>
                <w:sz w:val="21"/>
                <w:szCs w:val="21"/>
                <w:highlight w:val="none"/>
                <w:lang w:val="en-US" w:eastAsia="zh-CN" w:bidi="ar-SA"/>
              </w:rPr>
              <w:t>全面无烟环境建设相关文件，得4</w:t>
            </w:r>
            <w:r>
              <w:rPr>
                <w:rFonts w:ascii="宋体" w:hAnsi="宋体" w:eastAsia="宋体" w:cs="仿宋"/>
                <w:kern w:val="2"/>
                <w:sz w:val="21"/>
                <w:szCs w:val="21"/>
                <w:highlight w:val="none"/>
                <w:lang w:val="en-US" w:eastAsia="zh-CN" w:bidi="ar-SA"/>
              </w:rPr>
              <w:t>分；未出台</w:t>
            </w:r>
            <w:r>
              <w:rPr>
                <w:rFonts w:hint="eastAsia" w:ascii="宋体" w:hAnsi="宋体" w:cs="仿宋"/>
                <w:kern w:val="2"/>
                <w:sz w:val="21"/>
                <w:szCs w:val="21"/>
                <w:highlight w:val="none"/>
                <w:lang w:val="en-US" w:eastAsia="zh-CN" w:bidi="ar-SA"/>
              </w:rPr>
              <w:t>文件，</w:t>
            </w:r>
            <w:r>
              <w:rPr>
                <w:rFonts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2.辖区内无任何形式的烟草广告，得2分；有烟草广告，不得分。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w:t>
            </w:r>
            <w:r>
              <w:rPr>
                <w:rFonts w:ascii="宋体" w:hAnsi="宋体" w:eastAsia="宋体" w:cs="仿宋"/>
                <w:kern w:val="2"/>
                <w:sz w:val="21"/>
                <w:szCs w:val="21"/>
                <w:highlight w:val="none"/>
                <w:lang w:val="en-US" w:eastAsia="zh-CN" w:bidi="ar-SA"/>
              </w:rPr>
              <w:t>.在被抽查的场所中：</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w:t>
            </w:r>
            <w:r>
              <w:rPr>
                <w:rFonts w:ascii="宋体" w:hAnsi="宋体" w:eastAsia="宋体" w:cs="仿宋"/>
                <w:kern w:val="2"/>
                <w:sz w:val="21"/>
                <w:szCs w:val="21"/>
                <w:highlight w:val="none"/>
                <w:lang w:val="en-US" w:eastAsia="zh-CN" w:bidi="ar-SA"/>
              </w:rPr>
              <w:t>1）具备醒目的禁烟标识，得1分；</w:t>
            </w:r>
            <w:r>
              <w:rPr>
                <w:rFonts w:hint="eastAsia" w:ascii="宋体" w:hAnsi="宋体" w:cs="仿宋"/>
                <w:kern w:val="2"/>
                <w:sz w:val="21"/>
                <w:szCs w:val="21"/>
                <w:highlight w:val="none"/>
                <w:lang w:val="en-US" w:eastAsia="zh-CN" w:bidi="ar-SA"/>
              </w:rPr>
              <w:t>无相应标识，</w:t>
            </w:r>
            <w:r>
              <w:rPr>
                <w:rFonts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w:t>
            </w:r>
            <w:r>
              <w:rPr>
                <w:rFonts w:ascii="宋体" w:hAnsi="宋体" w:eastAsia="宋体" w:cs="仿宋"/>
                <w:kern w:val="2"/>
                <w:sz w:val="21"/>
                <w:szCs w:val="21"/>
                <w:highlight w:val="none"/>
                <w:lang w:val="en-US" w:eastAsia="zh-CN" w:bidi="ar-SA"/>
              </w:rPr>
              <w:t>2）</w:t>
            </w:r>
            <w:r>
              <w:rPr>
                <w:rFonts w:hint="eastAsia" w:ascii="宋体" w:hAnsi="宋体" w:eastAsia="宋体" w:cs="仿宋"/>
                <w:kern w:val="2"/>
                <w:sz w:val="21"/>
                <w:szCs w:val="21"/>
                <w:highlight w:val="none"/>
                <w:lang w:val="en-US" w:eastAsia="zh-CN" w:bidi="ar-SA"/>
              </w:rPr>
              <w:t>如果吸烟区设置不规范或缺乏醒目的引导标识，扣</w:t>
            </w:r>
            <w:r>
              <w:rPr>
                <w:rFonts w:ascii="宋体" w:hAnsi="宋体" w:eastAsia="宋体" w:cs="仿宋"/>
                <w:kern w:val="2"/>
                <w:sz w:val="21"/>
                <w:szCs w:val="21"/>
                <w:highlight w:val="none"/>
                <w:lang w:val="en-US" w:eastAsia="zh-CN" w:bidi="ar-SA"/>
              </w:rPr>
              <w:t>0.5分。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w:t>
            </w:r>
            <w:r>
              <w:rPr>
                <w:rFonts w:ascii="宋体" w:hAnsi="宋体" w:eastAsia="宋体" w:cs="仿宋"/>
                <w:kern w:val="2"/>
                <w:sz w:val="21"/>
                <w:szCs w:val="21"/>
                <w:highlight w:val="none"/>
                <w:lang w:val="en-US" w:eastAsia="zh-CN" w:bidi="ar-SA"/>
              </w:rPr>
              <w:t>）在非吸烟区</w:t>
            </w:r>
            <w:r>
              <w:rPr>
                <w:rFonts w:hint="eastAsia" w:ascii="宋体" w:hAnsi="宋体" w:eastAsia="宋体" w:cs="仿宋"/>
                <w:kern w:val="2"/>
                <w:sz w:val="21"/>
                <w:szCs w:val="21"/>
                <w:highlight w:val="none"/>
                <w:lang w:val="en-US" w:eastAsia="zh-CN" w:bidi="ar-SA"/>
              </w:rPr>
              <w:t>（无吸烟区的单位，视为场所范围均为非吸烟区）</w:t>
            </w:r>
            <w:r>
              <w:rPr>
                <w:rFonts w:ascii="宋体" w:hAnsi="宋体" w:eastAsia="宋体" w:cs="仿宋"/>
                <w:kern w:val="2"/>
                <w:sz w:val="21"/>
                <w:szCs w:val="21"/>
                <w:highlight w:val="none"/>
                <w:lang w:val="en-US" w:eastAsia="zh-CN" w:bidi="ar-SA"/>
              </w:rPr>
              <w:t>未发现吸烟现象或烟蒂，得1分；</w:t>
            </w:r>
            <w:r>
              <w:rPr>
                <w:rFonts w:hint="eastAsia" w:ascii="宋体" w:hAnsi="宋体" w:cs="仿宋"/>
                <w:kern w:val="2"/>
                <w:sz w:val="21"/>
                <w:szCs w:val="21"/>
                <w:highlight w:val="none"/>
                <w:lang w:val="en-US" w:eastAsia="zh-CN" w:bidi="ar-SA"/>
              </w:rPr>
              <w:t>如有</w:t>
            </w:r>
            <w:r>
              <w:rPr>
                <w:rFonts w:ascii="宋体" w:hAnsi="宋体" w:eastAsia="宋体" w:cs="仿宋"/>
                <w:kern w:val="2"/>
                <w:sz w:val="21"/>
                <w:szCs w:val="21"/>
                <w:highlight w:val="none"/>
                <w:lang w:val="en-US" w:eastAsia="zh-CN" w:bidi="ar-SA"/>
              </w:rPr>
              <w:t>发现</w:t>
            </w:r>
            <w:r>
              <w:rPr>
                <w:rFonts w:hint="eastAsia" w:ascii="宋体" w:hAnsi="宋体" w:cs="仿宋"/>
                <w:kern w:val="2"/>
                <w:sz w:val="21"/>
                <w:szCs w:val="21"/>
                <w:highlight w:val="none"/>
                <w:lang w:val="en-US" w:eastAsia="zh-CN" w:bidi="ar-SA"/>
              </w:rPr>
              <w:t>，</w:t>
            </w:r>
            <w:r>
              <w:rPr>
                <w:rFonts w:ascii="宋体" w:hAnsi="宋体" w:eastAsia="宋体" w:cs="仿宋"/>
                <w:kern w:val="2"/>
                <w:sz w:val="21"/>
                <w:szCs w:val="21"/>
                <w:highlight w:val="none"/>
                <w:lang w:val="en-US" w:eastAsia="zh-CN" w:bidi="ar-SA"/>
              </w:rPr>
              <w:t>不得分。</w:t>
            </w:r>
          </w:p>
          <w:p>
            <w:pPr>
              <w:widowControl w:val="0"/>
              <w:jc w:val="both"/>
              <w:rPr>
                <w:rFonts w:hint="eastAsia"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6</w:t>
            </w:r>
            <w:r>
              <w:rPr>
                <w:rFonts w:hint="eastAsia" w:ascii="宋体" w:hAnsi="宋体" w:eastAsia="宋体" w:cs="仿宋"/>
                <w:kern w:val="2"/>
                <w:sz w:val="21"/>
                <w:szCs w:val="21"/>
                <w:highlight w:val="none"/>
                <w:lang w:val="en-US" w:eastAsia="zh-CN" w:bidi="ar-SA"/>
              </w:rPr>
              <w:t>个场所满分为</w:t>
            </w:r>
            <w:r>
              <w:rPr>
                <w:rFonts w:ascii="宋体" w:hAnsi="宋体" w:eastAsia="宋体" w:cs="仿宋"/>
                <w:kern w:val="2"/>
                <w:sz w:val="21"/>
                <w:szCs w:val="21"/>
                <w:highlight w:val="none"/>
                <w:lang w:val="en-US" w:eastAsia="zh-CN" w:bidi="ar-SA"/>
              </w:rPr>
              <w:t>12分</w:t>
            </w:r>
            <w:r>
              <w:rPr>
                <w:rFonts w:hint="eastAsia" w:ascii="宋体" w:hAnsi="宋体" w:eastAsia="宋体" w:cs="仿宋"/>
                <w:kern w:val="2"/>
                <w:sz w:val="21"/>
                <w:szCs w:val="21"/>
                <w:highlight w:val="none"/>
                <w:lang w:val="en-US" w:eastAsia="zh-CN" w:bidi="ar-SA"/>
              </w:rPr>
              <w:t>。</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该指标满分为</w:t>
            </w:r>
            <w:r>
              <w:rPr>
                <w:rFonts w:ascii="宋体" w:hAnsi="宋体" w:eastAsia="宋体" w:cs="仿宋"/>
                <w:kern w:val="2"/>
                <w:sz w:val="21"/>
                <w:szCs w:val="21"/>
                <w:highlight w:val="none"/>
                <w:lang w:val="en-US" w:eastAsia="zh-CN" w:bidi="ar-SA"/>
              </w:rPr>
              <w:t>1</w:t>
            </w:r>
            <w:r>
              <w:rPr>
                <w:rFonts w:hint="eastAsia" w:ascii="宋体" w:hAnsi="宋体" w:eastAsia="宋体" w:cs="仿宋"/>
                <w:kern w:val="2"/>
                <w:sz w:val="21"/>
                <w:szCs w:val="21"/>
                <w:highlight w:val="none"/>
                <w:lang w:val="en-US" w:eastAsia="zh-CN" w:bidi="ar-SA"/>
              </w:rPr>
              <w:t>8分。</w:t>
            </w:r>
          </w:p>
        </w:tc>
        <w:tc>
          <w:tcPr>
            <w:tcW w:w="696" w:type="dxa"/>
            <w:noWrap w:val="0"/>
            <w:vAlign w:val="top"/>
          </w:tcPr>
          <w:p>
            <w:pPr>
              <w:widowControl/>
              <w:spacing w:line="400" w:lineRule="exact"/>
              <w:jc w:val="both"/>
              <w:rPr>
                <w:rFonts w:ascii="宋体" w:hAnsi="宋体" w:eastAsia="宋体" w:cs="Arial"/>
                <w:kern w:val="0"/>
                <w:szCs w:val="21"/>
                <w:highlight w:val="none"/>
              </w:rPr>
            </w:pPr>
            <w:r>
              <w:rPr>
                <w:rFonts w:ascii="宋体" w:hAnsi="宋体" w:eastAsia="宋体" w:cs="Arial"/>
                <w:kern w:val="0"/>
                <w:szCs w:val="21"/>
                <w:highlight w:val="none"/>
              </w:rPr>
              <w:t>1</w:t>
            </w:r>
            <w:r>
              <w:rPr>
                <w:rFonts w:hint="eastAsia" w:ascii="宋体" w:hAnsi="宋体" w:eastAsia="宋体" w:cs="Arial"/>
                <w:kern w:val="0"/>
                <w:szCs w:val="21"/>
                <w:highlight w:val="none"/>
              </w:rPr>
              <w:t>8分</w:t>
            </w:r>
          </w:p>
        </w:tc>
        <w:tc>
          <w:tcPr>
            <w:tcW w:w="900" w:type="dxa"/>
            <w:vMerge w:val="restart"/>
            <w:noWrap w:val="0"/>
            <w:vAlign w:val="top"/>
          </w:tcPr>
          <w:p>
            <w:pPr>
              <w:widowControl w:val="0"/>
              <w:jc w:val="both"/>
              <w:rPr>
                <w:rFonts w:hint="eastAsia" w:ascii="宋体" w:hAnsi="宋体" w:eastAsia="宋体" w:cs="仿宋"/>
                <w:kern w:val="2"/>
                <w:sz w:val="21"/>
                <w:szCs w:val="21"/>
                <w:highlight w:val="none"/>
                <w:lang w:val="en-US" w:eastAsia="zh-CN" w:bidi="ar-SA"/>
              </w:rPr>
            </w:pPr>
            <w:r>
              <w:rPr>
                <w:rFonts w:hint="eastAsia" w:ascii="宋体" w:hAnsi="宋体" w:cs="宋体"/>
                <w:color w:val="000000"/>
                <w:kern w:val="0"/>
                <w:szCs w:val="21"/>
                <w:highlight w:val="none"/>
                <w:lang w:val="en-US" w:eastAsia="zh-CN"/>
              </w:rPr>
              <w:t>见附录2：81、114、115、116、117、118。</w:t>
            </w:r>
          </w:p>
          <w:p>
            <w:pPr>
              <w:widowControl w:val="0"/>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widowControl/>
              <w:jc w:val="both"/>
              <w:rPr>
                <w:rFonts w:ascii="宋体" w:hAnsi="宋体" w:eastAsia="宋体" w:cs="Arial"/>
                <w:kern w:val="0"/>
                <w:szCs w:val="21"/>
                <w:highlight w:val="none"/>
              </w:rPr>
            </w:pPr>
          </w:p>
        </w:tc>
        <w:tc>
          <w:tcPr>
            <w:tcW w:w="968" w:type="dxa"/>
            <w:noWrap w:val="0"/>
            <w:vAlign w:val="top"/>
          </w:tcPr>
          <w:p>
            <w:pPr>
              <w:widowControl w:val="0"/>
              <w:jc w:val="both"/>
              <w:rPr>
                <w:rFonts w:ascii="宋体" w:hAnsi="宋体" w:eastAsia="宋体" w:cs="仿宋"/>
                <w:kern w:val="2"/>
                <w:sz w:val="21"/>
                <w:szCs w:val="21"/>
                <w:highlight w:val="none"/>
                <w:lang w:val="en-US" w:eastAsia="zh-CN" w:bidi="ar-SA"/>
              </w:rPr>
            </w:pPr>
            <w:r>
              <w:rPr>
                <w:rFonts w:ascii="宋体" w:hAnsi="宋体" w:eastAsia="宋体" w:cs="仿宋"/>
                <w:kern w:val="2"/>
                <w:sz w:val="21"/>
                <w:szCs w:val="21"/>
                <w:highlight w:val="none"/>
                <w:lang w:val="en-US" w:eastAsia="zh-CN" w:bidi="ar-SA"/>
              </w:rPr>
              <w:t>8</w:t>
            </w:r>
            <w:r>
              <w:rPr>
                <w:rFonts w:hint="eastAsia" w:ascii="宋体" w:hAnsi="宋体" w:eastAsia="宋体" w:cs="仿宋"/>
                <w:kern w:val="2"/>
                <w:sz w:val="21"/>
                <w:szCs w:val="21"/>
                <w:highlight w:val="none"/>
                <w:lang w:val="en-US" w:eastAsia="zh-CN" w:bidi="ar-SA"/>
              </w:rPr>
              <w:t>2</w:t>
            </w:r>
            <w:r>
              <w:rPr>
                <w:rFonts w:ascii="宋体" w:hAnsi="宋体" w:eastAsia="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不向未成年人售烟</w:t>
            </w:r>
          </w:p>
        </w:tc>
        <w:tc>
          <w:tcPr>
            <w:tcW w:w="24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学校周边1</w:t>
            </w:r>
            <w:r>
              <w:rPr>
                <w:rFonts w:ascii="宋体" w:hAnsi="宋体" w:eastAsia="宋体" w:cs="仿宋"/>
                <w:kern w:val="2"/>
                <w:sz w:val="21"/>
                <w:szCs w:val="21"/>
                <w:highlight w:val="none"/>
                <w:lang w:val="en-US" w:eastAsia="zh-CN" w:bidi="ar-SA"/>
              </w:rPr>
              <w:t>00</w:t>
            </w:r>
            <w:r>
              <w:rPr>
                <w:rFonts w:hint="eastAsia" w:ascii="宋体" w:hAnsi="宋体" w:eastAsia="宋体" w:cs="仿宋"/>
                <w:kern w:val="2"/>
                <w:sz w:val="21"/>
                <w:szCs w:val="21"/>
                <w:highlight w:val="none"/>
                <w:lang w:val="en-US" w:eastAsia="zh-CN" w:bidi="ar-SA"/>
              </w:rPr>
              <w:t>米内无烟草/电子烟零售点，不向未成年人销售烟草制品/电子烟。</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现场抽查：随机抽取1个小学和1个中学，观察周边1</w:t>
            </w:r>
            <w:r>
              <w:rPr>
                <w:rFonts w:ascii="宋体" w:hAnsi="宋体" w:eastAsia="宋体" w:cs="仿宋"/>
                <w:kern w:val="2"/>
                <w:sz w:val="21"/>
                <w:szCs w:val="21"/>
                <w:highlight w:val="none"/>
                <w:lang w:val="en-US" w:eastAsia="zh-CN" w:bidi="ar-SA"/>
              </w:rPr>
              <w:t>00</w:t>
            </w:r>
            <w:r>
              <w:rPr>
                <w:rFonts w:hint="eastAsia" w:ascii="宋体" w:hAnsi="宋体" w:eastAsia="宋体" w:cs="仿宋"/>
                <w:kern w:val="2"/>
                <w:sz w:val="21"/>
                <w:szCs w:val="21"/>
                <w:highlight w:val="none"/>
                <w:lang w:val="en-US" w:eastAsia="zh-CN" w:bidi="ar-SA"/>
              </w:rPr>
              <w:t>米是否有烟草/电子烟零售点。</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学校周边1</w:t>
            </w:r>
            <w:r>
              <w:rPr>
                <w:rFonts w:ascii="宋体" w:hAnsi="宋体" w:eastAsia="宋体" w:cs="仿宋"/>
                <w:kern w:val="2"/>
                <w:sz w:val="21"/>
                <w:szCs w:val="21"/>
                <w:highlight w:val="none"/>
                <w:lang w:val="en-US" w:eastAsia="zh-CN" w:bidi="ar-SA"/>
              </w:rPr>
              <w:t>00</w:t>
            </w:r>
            <w:r>
              <w:rPr>
                <w:rFonts w:hint="eastAsia" w:ascii="宋体" w:hAnsi="宋体" w:eastAsia="宋体" w:cs="仿宋"/>
                <w:kern w:val="2"/>
                <w:sz w:val="21"/>
                <w:szCs w:val="21"/>
                <w:highlight w:val="none"/>
                <w:lang w:val="en-US" w:eastAsia="zh-CN" w:bidi="ar-SA"/>
              </w:rPr>
              <w:t>米内无烟草/电子烟零售点，得3分；有零售点</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不得分；2个抽查学校满分为6分。</w:t>
            </w:r>
          </w:p>
        </w:tc>
        <w:tc>
          <w:tcPr>
            <w:tcW w:w="696" w:type="dxa"/>
            <w:noWrap w:val="0"/>
            <w:vAlign w:val="top"/>
          </w:tcPr>
          <w:p>
            <w:pPr>
              <w:widowControl/>
              <w:spacing w:line="400" w:lineRule="exact"/>
              <w:jc w:val="both"/>
              <w:rPr>
                <w:rFonts w:ascii="宋体" w:hAnsi="宋体" w:eastAsia="宋体" w:cs="Arial"/>
                <w:kern w:val="0"/>
                <w:szCs w:val="21"/>
                <w:highlight w:val="none"/>
              </w:rPr>
            </w:pPr>
            <w:r>
              <w:rPr>
                <w:rFonts w:hint="eastAsia" w:ascii="宋体" w:hAnsi="宋体" w:eastAsia="宋体" w:cs="Arial"/>
                <w:kern w:val="0"/>
                <w:szCs w:val="21"/>
                <w:highlight w:val="none"/>
              </w:rPr>
              <w:t>6分</w:t>
            </w:r>
          </w:p>
        </w:tc>
        <w:tc>
          <w:tcPr>
            <w:tcW w:w="900" w:type="dxa"/>
            <w:vMerge w:val="continue"/>
            <w:noWrap w:val="0"/>
            <w:vAlign w:val="top"/>
          </w:tcPr>
          <w:p>
            <w:pPr>
              <w:widowControl/>
              <w:spacing w:line="400" w:lineRule="exact"/>
              <w:jc w:val="both"/>
              <w:rPr>
                <w:rFonts w:ascii="宋体" w:hAnsi="宋体" w:eastAsia="宋体" w:cs="Arial"/>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vMerge w:val="continue"/>
            <w:noWrap w:val="0"/>
            <w:vAlign w:val="top"/>
          </w:tcPr>
          <w:p>
            <w:pPr>
              <w:widowControl/>
              <w:jc w:val="both"/>
              <w:rPr>
                <w:rFonts w:ascii="宋体" w:hAnsi="宋体" w:eastAsia="宋体" w:cs="Arial"/>
                <w:kern w:val="0"/>
                <w:szCs w:val="21"/>
                <w:highlight w:val="none"/>
              </w:rPr>
            </w:pPr>
          </w:p>
        </w:tc>
        <w:tc>
          <w:tcPr>
            <w:tcW w:w="968"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83</w:t>
            </w:r>
            <w:r>
              <w:rPr>
                <w:rFonts w:ascii="宋体" w:hAnsi="宋体" w:eastAsia="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控烟宣传</w:t>
            </w:r>
          </w:p>
        </w:tc>
        <w:tc>
          <w:tcPr>
            <w:tcW w:w="24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每年开展控烟主题宣传活动，</w:t>
            </w:r>
            <w:r>
              <w:rPr>
                <w:rFonts w:ascii="宋体" w:hAnsi="宋体" w:eastAsia="宋体" w:cs="仿宋"/>
                <w:kern w:val="2"/>
                <w:sz w:val="21"/>
                <w:szCs w:val="21"/>
                <w:highlight w:val="none"/>
                <w:lang w:val="en-US" w:eastAsia="zh-CN" w:bidi="ar-SA"/>
              </w:rPr>
              <w:t>提高公众对烟草危害健康的认知程度。</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查阅资料：控烟主题宣传活动资料。</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资料来源：卫生健康等部门。</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1.多部门联合举办，得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分；仅1个部门主办，得</w:t>
            </w:r>
            <w:r>
              <w:rPr>
                <w:rFonts w:ascii="宋体" w:hAnsi="宋体" w:eastAsia="宋体" w:cs="宋体"/>
                <w:color w:val="000000"/>
                <w:kern w:val="0"/>
                <w:szCs w:val="21"/>
                <w:highlight w:val="none"/>
              </w:rPr>
              <w:t>1</w:t>
            </w:r>
            <w:r>
              <w:rPr>
                <w:rFonts w:hint="eastAsia" w:ascii="宋体" w:hAnsi="宋体" w:eastAsia="宋体" w:cs="宋体"/>
                <w:color w:val="000000"/>
                <w:kern w:val="0"/>
                <w:szCs w:val="21"/>
                <w:highlight w:val="none"/>
              </w:rPr>
              <w:t>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2.有媒体参与，得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w:t>
            </w:r>
            <w:r>
              <w:rPr>
                <w:rFonts w:hint="eastAsia" w:ascii="宋体" w:hAnsi="宋体" w:cs="宋体"/>
                <w:color w:val="000000"/>
                <w:kern w:val="0"/>
                <w:szCs w:val="21"/>
                <w:highlight w:val="none"/>
                <w:lang w:val="en-US" w:eastAsia="zh-CN"/>
              </w:rPr>
              <w:t>无媒体参与</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3.有控烟传播材料，得</w:t>
            </w:r>
            <w:r>
              <w:rPr>
                <w:rFonts w:ascii="宋体" w:hAnsi="宋体" w:eastAsia="宋体" w:cs="仿宋"/>
                <w:kern w:val="2"/>
                <w:sz w:val="21"/>
                <w:szCs w:val="21"/>
                <w:highlight w:val="none"/>
                <w:lang w:val="en-US" w:eastAsia="zh-CN" w:bidi="ar-SA"/>
              </w:rPr>
              <w:t>2</w:t>
            </w:r>
            <w:r>
              <w:rPr>
                <w:rFonts w:hint="eastAsia" w:ascii="宋体" w:hAnsi="宋体" w:eastAsia="宋体" w:cs="仿宋"/>
                <w:kern w:val="2"/>
                <w:sz w:val="21"/>
                <w:szCs w:val="21"/>
                <w:highlight w:val="none"/>
                <w:lang w:val="en-US" w:eastAsia="zh-CN" w:bidi="ar-SA"/>
              </w:rPr>
              <w:t>分；无</w:t>
            </w:r>
            <w:r>
              <w:rPr>
                <w:rFonts w:hint="eastAsia" w:ascii="宋体" w:hAnsi="宋体" w:cs="仿宋"/>
                <w:kern w:val="2"/>
                <w:sz w:val="21"/>
                <w:szCs w:val="21"/>
                <w:highlight w:val="none"/>
                <w:lang w:val="en-US" w:eastAsia="zh-CN" w:bidi="ar-SA"/>
              </w:rPr>
              <w:t>传播</w:t>
            </w:r>
            <w:r>
              <w:rPr>
                <w:rFonts w:hint="eastAsia" w:ascii="宋体" w:hAnsi="宋体" w:eastAsia="宋体" w:cs="仿宋"/>
                <w:kern w:val="2"/>
                <w:sz w:val="21"/>
                <w:szCs w:val="21"/>
                <w:highlight w:val="none"/>
                <w:lang w:val="en-US" w:eastAsia="zh-CN" w:bidi="ar-SA"/>
              </w:rPr>
              <w:t>材料</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该指标满分为</w:t>
            </w:r>
            <w:r>
              <w:rPr>
                <w:rFonts w:ascii="宋体" w:hAnsi="宋体" w:eastAsia="宋体" w:cs="仿宋"/>
                <w:kern w:val="2"/>
                <w:sz w:val="21"/>
                <w:szCs w:val="21"/>
                <w:highlight w:val="none"/>
                <w:lang w:val="en-US" w:eastAsia="zh-CN" w:bidi="ar-SA"/>
              </w:rPr>
              <w:t>6</w:t>
            </w:r>
            <w:r>
              <w:rPr>
                <w:rFonts w:hint="eastAsia" w:ascii="宋体" w:hAnsi="宋体" w:eastAsia="宋体" w:cs="仿宋"/>
                <w:kern w:val="2"/>
                <w:sz w:val="21"/>
                <w:szCs w:val="21"/>
                <w:highlight w:val="none"/>
                <w:lang w:val="en-US" w:eastAsia="zh-CN" w:bidi="ar-SA"/>
              </w:rPr>
              <w:t>分。</w:t>
            </w:r>
          </w:p>
        </w:tc>
        <w:tc>
          <w:tcPr>
            <w:tcW w:w="696" w:type="dxa"/>
            <w:noWrap w:val="0"/>
            <w:vAlign w:val="top"/>
          </w:tcPr>
          <w:p>
            <w:pPr>
              <w:widowControl/>
              <w:spacing w:line="400" w:lineRule="exact"/>
              <w:jc w:val="both"/>
              <w:rPr>
                <w:rFonts w:ascii="宋体" w:hAnsi="宋体" w:eastAsia="宋体" w:cs="Arial"/>
                <w:kern w:val="0"/>
                <w:szCs w:val="21"/>
                <w:highlight w:val="none"/>
              </w:rPr>
            </w:pPr>
            <w:r>
              <w:rPr>
                <w:rFonts w:ascii="宋体" w:hAnsi="宋体" w:eastAsia="宋体" w:cs="Arial"/>
                <w:kern w:val="0"/>
                <w:szCs w:val="21"/>
                <w:highlight w:val="none"/>
              </w:rPr>
              <w:t>6</w:t>
            </w:r>
            <w:r>
              <w:rPr>
                <w:rFonts w:hint="eastAsia" w:ascii="宋体" w:hAnsi="宋体" w:eastAsia="宋体" w:cs="Arial"/>
                <w:kern w:val="0"/>
                <w:szCs w:val="21"/>
                <w:highlight w:val="none"/>
              </w:rPr>
              <w:t>分</w:t>
            </w:r>
          </w:p>
        </w:tc>
        <w:tc>
          <w:tcPr>
            <w:tcW w:w="900" w:type="dxa"/>
            <w:vMerge w:val="continue"/>
            <w:noWrap w:val="0"/>
            <w:vAlign w:val="top"/>
          </w:tcPr>
          <w:p>
            <w:pPr>
              <w:widowControl/>
              <w:spacing w:line="400" w:lineRule="exact"/>
              <w:jc w:val="both"/>
              <w:rPr>
                <w:rFonts w:ascii="宋体" w:hAnsi="宋体" w:eastAsia="宋体" w:cs="Arial"/>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第三十二条</w:t>
            </w:r>
          </w:p>
        </w:tc>
        <w:tc>
          <w:tcPr>
            <w:tcW w:w="968"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84</w:t>
            </w:r>
            <w:r>
              <w:rPr>
                <w:rFonts w:ascii="宋体" w:hAnsi="宋体" w:eastAsia="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倡导公勺公筷和光盘行动</w:t>
            </w:r>
          </w:p>
        </w:tc>
        <w:tc>
          <w:tcPr>
            <w:tcW w:w="24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倡导餐馆向聚餐顾客提供公勺公筷，在全社会推进光盘行动。</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现场抽查：</w:t>
            </w:r>
            <w:r>
              <w:rPr>
                <w:rFonts w:hint="eastAsia" w:ascii="宋体" w:hAnsi="宋体" w:eastAsia="宋体" w:cs="宋体"/>
                <w:color w:val="000000"/>
                <w:kern w:val="0"/>
                <w:sz w:val="21"/>
                <w:szCs w:val="21"/>
                <w:highlight w:val="none"/>
                <w:lang w:val="en-US" w:eastAsia="zh-CN" w:bidi="ar-SA"/>
              </w:rPr>
              <w:t>随机抽查＞500平米的1家餐馆</w:t>
            </w:r>
            <w:r>
              <w:rPr>
                <w:rFonts w:hint="eastAsia" w:ascii="宋体" w:hAnsi="宋体" w:eastAsia="宋体" w:cs="仿宋"/>
                <w:kern w:val="2"/>
                <w:sz w:val="21"/>
                <w:szCs w:val="21"/>
                <w:highlight w:val="none"/>
                <w:lang w:val="en-US" w:eastAsia="zh-CN" w:bidi="ar-SA"/>
              </w:rPr>
              <w:t>，查看公勺公筷和光盘行动倡导宣传情况。</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1.有公勺公筷宣传材料，得3分；无</w:t>
            </w:r>
            <w:r>
              <w:rPr>
                <w:rFonts w:hint="eastAsia" w:ascii="宋体" w:hAnsi="宋体" w:cs="仿宋"/>
                <w:kern w:val="2"/>
                <w:sz w:val="21"/>
                <w:szCs w:val="21"/>
                <w:highlight w:val="none"/>
                <w:lang w:val="en-US" w:eastAsia="zh-CN" w:bidi="ar-SA"/>
              </w:rPr>
              <w:t>宣传</w:t>
            </w:r>
            <w:r>
              <w:rPr>
                <w:rFonts w:hint="eastAsia" w:ascii="宋体" w:hAnsi="宋体" w:eastAsia="宋体" w:cs="仿宋"/>
                <w:kern w:val="2"/>
                <w:sz w:val="21"/>
                <w:szCs w:val="21"/>
                <w:highlight w:val="none"/>
                <w:lang w:val="en-US" w:eastAsia="zh-CN" w:bidi="ar-SA"/>
              </w:rPr>
              <w:t>材料</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2.餐馆配置有公勺公筷，得3分；未配置</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3.有光盘行动宣传材料，得3分；无</w:t>
            </w:r>
            <w:r>
              <w:rPr>
                <w:rFonts w:hint="eastAsia" w:ascii="宋体" w:hAnsi="宋体" w:cs="仿宋"/>
                <w:kern w:val="2"/>
                <w:sz w:val="21"/>
                <w:szCs w:val="21"/>
                <w:highlight w:val="none"/>
                <w:lang w:val="en-US" w:eastAsia="zh-CN" w:bidi="ar-SA"/>
              </w:rPr>
              <w:t>宣传</w:t>
            </w:r>
            <w:r>
              <w:rPr>
                <w:rFonts w:hint="eastAsia" w:ascii="宋体" w:hAnsi="宋体" w:eastAsia="宋体" w:cs="仿宋"/>
                <w:kern w:val="2"/>
                <w:sz w:val="21"/>
                <w:szCs w:val="21"/>
                <w:highlight w:val="none"/>
                <w:lang w:val="en-US" w:eastAsia="zh-CN" w:bidi="ar-SA"/>
              </w:rPr>
              <w:t>材料</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该指标满分为9分。</w:t>
            </w:r>
          </w:p>
        </w:tc>
        <w:tc>
          <w:tcPr>
            <w:tcW w:w="696" w:type="dxa"/>
            <w:noWrap w:val="0"/>
            <w:vAlign w:val="top"/>
          </w:tcPr>
          <w:p>
            <w:pPr>
              <w:widowControl w:val="0"/>
              <w:jc w:val="both"/>
              <w:rPr>
                <w:rFonts w:hint="eastAsia"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9分</w:t>
            </w:r>
          </w:p>
        </w:tc>
        <w:tc>
          <w:tcPr>
            <w:tcW w:w="900" w:type="dxa"/>
            <w:noWrap w:val="0"/>
            <w:vAlign w:val="top"/>
          </w:tcPr>
          <w:p>
            <w:pPr>
              <w:widowControl w:val="0"/>
              <w:jc w:val="both"/>
              <w:rPr>
                <w:rFonts w:ascii="宋体" w:hAnsi="宋体" w:eastAsia="宋体"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jc w:val="both"/>
              <w:rPr>
                <w:rFonts w:ascii="宋体" w:hAnsi="宋体" w:eastAsia="宋体" w:cs="宋体"/>
                <w:szCs w:val="21"/>
                <w:highlight w:val="none"/>
              </w:rPr>
            </w:pPr>
          </w:p>
        </w:tc>
        <w:tc>
          <w:tcPr>
            <w:tcW w:w="6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第三十三条</w:t>
            </w:r>
          </w:p>
        </w:tc>
        <w:tc>
          <w:tcPr>
            <w:tcW w:w="968"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85.群众参与社会公益</w:t>
            </w:r>
          </w:p>
        </w:tc>
        <w:tc>
          <w:tcPr>
            <w:tcW w:w="249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鼓励当地居民积极参与志愿服务等社会公益活动；鼓励群众积极参与无偿献血，年度千人口献血率高于全国平均水平。</w:t>
            </w:r>
          </w:p>
        </w:tc>
        <w:tc>
          <w:tcPr>
            <w:tcW w:w="3095"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查阅资料：有鼓励居民积极参与志愿服务等社会公益活动的专项计划、注册志愿者相关资料、无偿献血相关资料。</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资料来源：民政部门、卫生健康部门、文明办等。</w:t>
            </w:r>
          </w:p>
        </w:tc>
        <w:tc>
          <w:tcPr>
            <w:tcW w:w="5836" w:type="dxa"/>
            <w:noWrap w:val="0"/>
            <w:vAlign w:val="top"/>
          </w:tcPr>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1.有鼓励居民积极参与志愿服务等社会公益活动的专项计划，得</w:t>
            </w:r>
            <w:r>
              <w:rPr>
                <w:rFonts w:ascii="宋体" w:hAnsi="宋体" w:eastAsia="宋体" w:cs="仿宋"/>
                <w:kern w:val="2"/>
                <w:sz w:val="21"/>
                <w:szCs w:val="21"/>
                <w:highlight w:val="none"/>
                <w:lang w:val="en-US" w:eastAsia="zh-CN" w:bidi="ar-SA"/>
              </w:rPr>
              <w:t>4</w:t>
            </w:r>
            <w:r>
              <w:rPr>
                <w:rFonts w:hint="eastAsia" w:ascii="宋体" w:hAnsi="宋体" w:eastAsia="宋体" w:cs="仿宋"/>
                <w:kern w:val="2"/>
                <w:sz w:val="21"/>
                <w:szCs w:val="21"/>
                <w:highlight w:val="none"/>
                <w:lang w:val="en-US" w:eastAsia="zh-CN" w:bidi="ar-SA"/>
              </w:rPr>
              <w:t>分；无专项计划，不得分。</w:t>
            </w:r>
          </w:p>
          <w:p>
            <w:pPr>
              <w:widowControl w:val="0"/>
              <w:jc w:val="both"/>
              <w:rPr>
                <w:rFonts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2.3年内当地注册志愿者比例逐年提升，得</w:t>
            </w:r>
            <w:r>
              <w:rPr>
                <w:rFonts w:ascii="宋体" w:hAnsi="宋体" w:eastAsia="宋体" w:cs="仿宋"/>
                <w:kern w:val="2"/>
                <w:sz w:val="21"/>
                <w:szCs w:val="21"/>
                <w:highlight w:val="none"/>
                <w:lang w:val="en-US" w:eastAsia="zh-CN" w:bidi="ar-SA"/>
              </w:rPr>
              <w:t>4</w:t>
            </w:r>
            <w:r>
              <w:rPr>
                <w:rFonts w:hint="eastAsia" w:ascii="宋体" w:hAnsi="宋体" w:eastAsia="宋体" w:cs="仿宋"/>
                <w:kern w:val="2"/>
                <w:sz w:val="21"/>
                <w:szCs w:val="21"/>
                <w:highlight w:val="none"/>
                <w:lang w:val="en-US" w:eastAsia="zh-CN" w:bidi="ar-SA"/>
              </w:rPr>
              <w:t>分；未提升</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不得分。</w:t>
            </w:r>
          </w:p>
          <w:p>
            <w:pPr>
              <w:widowControl w:val="0"/>
              <w:jc w:val="both"/>
              <w:rPr>
                <w:rFonts w:hint="eastAsia"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3.年度千人口献血率≥全国同期平均水平，得</w:t>
            </w:r>
            <w:r>
              <w:rPr>
                <w:rFonts w:ascii="宋体" w:hAnsi="宋体" w:eastAsia="宋体" w:cs="仿宋"/>
                <w:kern w:val="2"/>
                <w:sz w:val="21"/>
                <w:szCs w:val="21"/>
                <w:highlight w:val="none"/>
                <w:lang w:val="en-US" w:eastAsia="zh-CN" w:bidi="ar-SA"/>
              </w:rPr>
              <w:t>8</w:t>
            </w:r>
            <w:r>
              <w:rPr>
                <w:rFonts w:hint="eastAsia" w:ascii="宋体" w:hAnsi="宋体" w:eastAsia="宋体" w:cs="仿宋"/>
                <w:kern w:val="2"/>
                <w:sz w:val="21"/>
                <w:szCs w:val="21"/>
                <w:highlight w:val="none"/>
                <w:lang w:val="en-US" w:eastAsia="zh-CN" w:bidi="ar-SA"/>
              </w:rPr>
              <w:t>分；＜全国同期平均水平，不得分。</w:t>
            </w:r>
          </w:p>
          <w:p>
            <w:pPr>
              <w:widowControl w:val="0"/>
              <w:jc w:val="both"/>
              <w:rPr>
                <w:rFonts w:hint="eastAsia" w:ascii="宋体" w:hAnsi="宋体" w:eastAsia="宋体" w:cs="仿宋"/>
                <w:kern w:val="2"/>
                <w:sz w:val="21"/>
                <w:szCs w:val="21"/>
                <w:highlight w:val="none"/>
                <w:lang w:val="en-US" w:eastAsia="zh-CN" w:bidi="ar-SA"/>
              </w:rPr>
            </w:pPr>
            <w:r>
              <w:rPr>
                <w:rFonts w:hint="eastAsia" w:ascii="宋体" w:hAnsi="宋体" w:eastAsia="宋体" w:cs="仿宋"/>
                <w:kern w:val="2"/>
                <w:sz w:val="21"/>
                <w:szCs w:val="21"/>
                <w:highlight w:val="none"/>
                <w:lang w:val="en-US" w:eastAsia="zh-CN" w:bidi="ar-SA"/>
              </w:rPr>
              <w:t>该指标满分为16分。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16</w:t>
            </w:r>
            <w:r>
              <w:rPr>
                <w:rFonts w:hint="eastAsia" w:ascii="宋体" w:hAnsi="宋体" w:eastAsia="宋体" w:cs="宋体"/>
                <w:color w:val="000000"/>
                <w:kern w:val="0"/>
                <w:szCs w:val="21"/>
                <w:highlight w:val="none"/>
              </w:rPr>
              <w:t>分</w:t>
            </w:r>
          </w:p>
        </w:tc>
        <w:tc>
          <w:tcPr>
            <w:tcW w:w="900" w:type="dxa"/>
            <w:noWrap w:val="0"/>
            <w:vAlign w:val="top"/>
          </w:tcPr>
          <w:p>
            <w:pPr>
              <w:widowControl w:val="0"/>
              <w:jc w:val="both"/>
              <w:rPr>
                <w:rFonts w:hint="default" w:ascii="宋体" w:hAnsi="宋体" w:eastAsia="宋体" w:cs="仿宋"/>
                <w:kern w:val="2"/>
                <w:sz w:val="21"/>
                <w:szCs w:val="21"/>
                <w:highlight w:val="none"/>
                <w:lang w:val="e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restart"/>
            <w:noWrap w:val="0"/>
            <w:vAlign w:val="top"/>
          </w:tcPr>
          <w:p>
            <w:pPr>
              <w:widowControl/>
              <w:jc w:val="both"/>
              <w:rPr>
                <w:rFonts w:ascii="宋体" w:hAnsi="宋体" w:eastAsia="宋体" w:cs="宋体"/>
                <w:b/>
                <w:bCs/>
                <w:color w:val="000000"/>
                <w:kern w:val="0"/>
                <w:szCs w:val="21"/>
                <w:highlight w:val="none"/>
              </w:rPr>
            </w:pPr>
            <w:r>
              <w:rPr>
                <w:rFonts w:ascii="宋体" w:hAnsi="宋体" w:eastAsia="宋体" w:cs="宋体"/>
                <w:b/>
                <w:bCs/>
                <w:color w:val="000000"/>
                <w:kern w:val="0"/>
                <w:szCs w:val="21"/>
                <w:highlight w:val="none"/>
              </w:rPr>
              <w:t>六、组织管理</w:t>
            </w:r>
          </w:p>
        </w:tc>
        <w:tc>
          <w:tcPr>
            <w:tcW w:w="6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第三十四条</w:t>
            </w:r>
          </w:p>
        </w:tc>
        <w:tc>
          <w:tcPr>
            <w:tcW w:w="968" w:type="dxa"/>
            <w:noWrap w:val="0"/>
            <w:vAlign w:val="top"/>
          </w:tcPr>
          <w:p>
            <w:pPr>
              <w:widowControl/>
              <w:jc w:val="both"/>
              <w:rPr>
                <w:rFonts w:hint="default"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86</w:t>
            </w:r>
            <w:r>
              <w:rPr>
                <w:rFonts w:hint="eastAsia" w:ascii="宋体" w:hAnsi="宋体" w:eastAsia="宋体" w:cs="宋体"/>
                <w:color w:val="000000"/>
                <w:kern w:val="0"/>
                <w:szCs w:val="21"/>
                <w:highlight w:val="none"/>
              </w:rPr>
              <w:t>.健康县区建设协调机制</w:t>
            </w:r>
            <w:r>
              <w:rPr>
                <w:rFonts w:hint="eastAsia" w:ascii="宋体" w:hAnsi="宋体" w:eastAsia="宋体" w:cs="宋体"/>
                <w:color w:val="000000"/>
                <w:kern w:val="0"/>
                <w:szCs w:val="21"/>
                <w:highlight w:val="none"/>
                <w:lang w:val="en-US" w:eastAsia="zh-CN"/>
              </w:rPr>
              <w:t>和部门分工</w:t>
            </w:r>
          </w:p>
        </w:tc>
        <w:tc>
          <w:tcPr>
            <w:tcW w:w="2496" w:type="dxa"/>
            <w:noWrap w:val="0"/>
            <w:vAlign w:val="top"/>
          </w:tcPr>
          <w:p>
            <w:pPr>
              <w:widowControl/>
              <w:jc w:val="both"/>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建立健康县区建设领导协调机制，统筹推进健康县区建设。明确部门在健康县区建设中的职责和任务，形成工作合力</w:t>
            </w:r>
            <w:r>
              <w:rPr>
                <w:rFonts w:hint="eastAsia" w:ascii="宋体" w:hAnsi="宋体" w:eastAsia="宋体" w:cs="宋体"/>
                <w:color w:val="000000"/>
                <w:kern w:val="0"/>
                <w:szCs w:val="21"/>
                <w:highlight w:val="none"/>
                <w:lang w:eastAsia="zh-CN"/>
              </w:rPr>
              <w:t>。</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查阅资料：健康县区建设领导协调机制建设相关文件。</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w:t>
            </w:r>
            <w:r>
              <w:rPr>
                <w:rFonts w:hint="eastAsia" w:ascii="宋体" w:hAnsi="宋体" w:eastAsia="宋体" w:cs="宋体"/>
                <w:color w:val="000000"/>
                <w:kern w:val="0"/>
                <w:szCs w:val="21"/>
                <w:highlight w:val="none"/>
                <w:lang w:val="en-US" w:eastAsia="zh-CN"/>
              </w:rPr>
              <w:t>文件印发部门</w:t>
            </w:r>
            <w:r>
              <w:rPr>
                <w:rFonts w:hint="eastAsia" w:ascii="宋体" w:hAnsi="宋体" w:eastAsia="宋体" w:cs="宋体"/>
                <w:color w:val="000000"/>
                <w:kern w:val="0"/>
                <w:szCs w:val="21"/>
                <w:highlight w:val="none"/>
              </w:rPr>
              <w:t>。</w:t>
            </w:r>
          </w:p>
        </w:tc>
        <w:tc>
          <w:tcPr>
            <w:tcW w:w="5836" w:type="dxa"/>
            <w:noWrap w:val="0"/>
            <w:vAlign w:val="top"/>
          </w:tcPr>
          <w:p>
            <w:pPr>
              <w:widowControl/>
              <w:jc w:val="both"/>
              <w:rPr>
                <w:rFonts w:hint="eastAsia"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1.</w:t>
            </w:r>
            <w:r>
              <w:rPr>
                <w:rFonts w:hint="eastAsia" w:ascii="宋体" w:hAnsi="宋体" w:eastAsia="宋体" w:cs="宋体"/>
                <w:color w:val="000000"/>
                <w:kern w:val="0"/>
                <w:szCs w:val="21"/>
                <w:highlight w:val="none"/>
              </w:rPr>
              <w:t>建立健康县区建设领导协调机制，得6分；未建立</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hint="eastAsia"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2.</w:t>
            </w:r>
            <w:r>
              <w:rPr>
                <w:rFonts w:hint="eastAsia" w:ascii="宋体" w:hAnsi="宋体" w:eastAsia="宋体" w:cs="宋体"/>
                <w:color w:val="000000"/>
                <w:kern w:val="0"/>
                <w:szCs w:val="21"/>
                <w:highlight w:val="none"/>
              </w:rPr>
              <w:t>明确相关部门职责和任务</w:t>
            </w:r>
            <w:r>
              <w:rPr>
                <w:rFonts w:hint="eastAsia" w:ascii="宋体" w:hAnsi="宋体" w:eastAsia="宋体" w:cs="宋体"/>
                <w:color w:val="000000"/>
                <w:kern w:val="0"/>
                <w:szCs w:val="21"/>
                <w:highlight w:val="none"/>
                <w:lang w:val="en-US" w:eastAsia="zh-CN"/>
              </w:rPr>
              <w:t>分工</w:t>
            </w:r>
            <w:r>
              <w:rPr>
                <w:rFonts w:hint="eastAsia"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得14分；未明确</w:t>
            </w:r>
            <w:r>
              <w:rPr>
                <w:rFonts w:hint="eastAsia" w:ascii="宋体" w:hAnsi="宋体" w:cs="宋体"/>
                <w:color w:val="000000"/>
                <w:kern w:val="0"/>
                <w:szCs w:val="21"/>
                <w:highlight w:val="none"/>
                <w:lang w:val="en-US" w:eastAsia="zh-CN"/>
              </w:rPr>
              <w:t>，</w:t>
            </w:r>
            <w:r>
              <w:rPr>
                <w:rFonts w:hint="eastAsia" w:ascii="宋体" w:hAnsi="宋体" w:eastAsia="宋体" w:cs="宋体"/>
                <w:color w:val="000000"/>
                <w:kern w:val="0"/>
                <w:szCs w:val="21"/>
                <w:highlight w:val="none"/>
                <w:lang w:val="en-US" w:eastAsia="zh-CN"/>
              </w:rPr>
              <w:t>不得分。</w:t>
            </w:r>
          </w:p>
          <w:p>
            <w:pPr>
              <w:widowControl/>
              <w:jc w:val="both"/>
              <w:rPr>
                <w:rFonts w:hint="default"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该指标满分为20分。</w:t>
            </w:r>
          </w:p>
          <w:p>
            <w:pPr>
              <w:widowControl/>
              <w:jc w:val="both"/>
              <w:rPr>
                <w:rFonts w:hint="default" w:ascii="宋体" w:hAnsi="宋体" w:eastAsia="宋体" w:cs="宋体"/>
                <w:color w:val="000000"/>
                <w:kern w:val="0"/>
                <w:szCs w:val="21"/>
                <w:highlight w:val="none"/>
                <w:lang w:val="en-US" w:eastAsia="zh-CN"/>
              </w:rPr>
            </w:pPr>
          </w:p>
        </w:tc>
        <w:tc>
          <w:tcPr>
            <w:tcW w:w="696" w:type="dxa"/>
            <w:noWrap w:val="0"/>
            <w:vAlign w:val="top"/>
          </w:tcPr>
          <w:p>
            <w:pPr>
              <w:widowControl/>
              <w:jc w:val="both"/>
              <w:rPr>
                <w:rFonts w:ascii="宋体" w:hAnsi="宋体" w:eastAsia="宋体" w:cs="宋体"/>
                <w:b/>
                <w:bCs/>
                <w:color w:val="000000"/>
                <w:kern w:val="0"/>
                <w:szCs w:val="21"/>
                <w:highlight w:val="none"/>
              </w:rPr>
            </w:pPr>
            <w:r>
              <w:rPr>
                <w:rFonts w:hint="eastAsia" w:ascii="宋体" w:hAnsi="宋体" w:eastAsia="宋体" w:cs="宋体"/>
                <w:bCs/>
                <w:color w:val="000000"/>
                <w:kern w:val="0"/>
                <w:szCs w:val="21"/>
                <w:highlight w:val="none"/>
                <w:lang w:val="en-US" w:eastAsia="zh-CN"/>
              </w:rPr>
              <w:t>20</w:t>
            </w:r>
            <w:r>
              <w:rPr>
                <w:rFonts w:hint="eastAsia" w:ascii="宋体" w:hAnsi="宋体" w:eastAsia="宋体" w:cs="宋体"/>
                <w:bCs/>
                <w:color w:val="000000"/>
                <w:kern w:val="0"/>
                <w:szCs w:val="21"/>
                <w:highlight w:val="none"/>
              </w:rPr>
              <w:t>分</w:t>
            </w:r>
          </w:p>
        </w:tc>
        <w:tc>
          <w:tcPr>
            <w:tcW w:w="900"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cs="宋体"/>
                <w:color w:val="000000"/>
                <w:kern w:val="0"/>
                <w:szCs w:val="21"/>
                <w:highlight w:val="none"/>
                <w:lang w:val="en-US" w:eastAsia="zh-CN"/>
              </w:rPr>
              <w:t>见附录2：3。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jc w:val="both"/>
              <w:rPr>
                <w:rFonts w:ascii="宋体" w:hAnsi="宋体" w:eastAsia="宋体" w:cs="宋体"/>
                <w:b/>
                <w:bCs/>
                <w:color w:val="000000"/>
                <w:kern w:val="0"/>
                <w:szCs w:val="21"/>
                <w:highlight w:val="none"/>
              </w:rPr>
            </w:pPr>
          </w:p>
        </w:tc>
        <w:tc>
          <w:tcPr>
            <w:tcW w:w="695" w:type="dxa"/>
            <w:vMerge w:val="restart"/>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第三十五条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87</w:t>
            </w:r>
            <w:r>
              <w:rPr>
                <w:rFonts w:hint="eastAsia" w:ascii="宋体" w:hAnsi="宋体" w:eastAsia="宋体" w:cs="宋体"/>
                <w:color w:val="000000"/>
                <w:kern w:val="0"/>
                <w:szCs w:val="21"/>
                <w:highlight w:val="none"/>
              </w:rPr>
              <w:t>.健康县区建设工作网络</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建立覆盖有关组成部门、乡镇（街道）、社区（村）、学校、机关、中等及以上规模企业的健康促进工作网络，并定期对专（兼）职健康促进与健康教育人员开展培训。</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查阅资料：查阅机构数量和工作网络人员名单及相关培训资料。</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w:t>
            </w:r>
            <w:r>
              <w:rPr>
                <w:rFonts w:hint="eastAsia" w:ascii="宋体" w:hAnsi="宋体" w:eastAsia="宋体" w:cs="宋体"/>
                <w:color w:val="000000"/>
                <w:kern w:val="0"/>
                <w:szCs w:val="21"/>
                <w:highlight w:val="none"/>
                <w:lang w:val="en-US" w:eastAsia="zh-CN"/>
              </w:rPr>
              <w:t>相关部门</w:t>
            </w:r>
            <w:r>
              <w:rPr>
                <w:rFonts w:hint="eastAsia" w:ascii="宋体" w:hAnsi="宋体" w:eastAsia="宋体" w:cs="宋体"/>
                <w:color w:val="000000"/>
                <w:kern w:val="0"/>
                <w:szCs w:val="21"/>
                <w:highlight w:val="none"/>
              </w:rPr>
              <w:t>。</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1.工作网络覆盖率100%，得8分；≥80%且＜100%，得4分；≥60%且＜80%，得2分；</w:t>
            </w:r>
            <w:r>
              <w:rPr>
                <w:rFonts w:ascii="宋体" w:hAnsi="宋体" w:eastAsia="宋体" w:cs="宋体"/>
                <w:color w:val="000000"/>
                <w:kern w:val="0"/>
                <w:szCs w:val="21"/>
                <w:highlight w:val="none"/>
              </w:rPr>
              <w:t>＜60%，不得分。</w:t>
            </w:r>
          </w:p>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2.工作网络培训覆盖率达到100%，得</w:t>
            </w:r>
            <w:r>
              <w:rPr>
                <w:rFonts w:hint="eastAsia" w:ascii="宋体" w:hAnsi="宋体" w:eastAsia="宋体" w:cs="宋体"/>
                <w:color w:val="000000"/>
                <w:kern w:val="0"/>
                <w:szCs w:val="21"/>
                <w:highlight w:val="none"/>
              </w:rPr>
              <w:t>6分；≥</w:t>
            </w:r>
            <w:r>
              <w:rPr>
                <w:rFonts w:ascii="宋体" w:hAnsi="宋体" w:eastAsia="宋体" w:cs="宋体"/>
                <w:color w:val="000000"/>
                <w:kern w:val="0"/>
                <w:szCs w:val="21"/>
                <w:highlight w:val="none"/>
              </w:rPr>
              <w:t>80%且</w:t>
            </w:r>
            <w:r>
              <w:rPr>
                <w:rFonts w:hint="eastAsia" w:ascii="宋体" w:hAnsi="宋体" w:eastAsia="宋体" w:cs="宋体"/>
                <w:color w:val="000000"/>
                <w:kern w:val="0"/>
                <w:szCs w:val="21"/>
                <w:highlight w:val="none"/>
              </w:rPr>
              <w:t>＜</w:t>
            </w:r>
            <w:r>
              <w:rPr>
                <w:rFonts w:ascii="宋体" w:hAnsi="宋体" w:eastAsia="宋体" w:cs="宋体"/>
                <w:color w:val="000000"/>
                <w:kern w:val="0"/>
                <w:szCs w:val="21"/>
                <w:highlight w:val="none"/>
              </w:rPr>
              <w:t>100%，得</w:t>
            </w:r>
            <w:r>
              <w:rPr>
                <w:rFonts w:hint="eastAsia" w:ascii="宋体" w:hAnsi="宋体" w:eastAsia="宋体" w:cs="宋体"/>
                <w:color w:val="000000"/>
                <w:kern w:val="0"/>
                <w:szCs w:val="21"/>
                <w:highlight w:val="none"/>
              </w:rPr>
              <w:t>3分；≥</w:t>
            </w:r>
            <w:r>
              <w:rPr>
                <w:rFonts w:ascii="宋体" w:hAnsi="宋体" w:eastAsia="宋体" w:cs="宋体"/>
                <w:color w:val="000000"/>
                <w:kern w:val="0"/>
                <w:szCs w:val="21"/>
                <w:highlight w:val="none"/>
              </w:rPr>
              <w:t>60%且</w:t>
            </w:r>
            <w:r>
              <w:rPr>
                <w:rFonts w:hint="eastAsia" w:ascii="宋体" w:hAnsi="宋体" w:eastAsia="宋体" w:cs="宋体"/>
                <w:color w:val="000000"/>
                <w:kern w:val="0"/>
                <w:szCs w:val="21"/>
                <w:highlight w:val="none"/>
              </w:rPr>
              <w:t>＜</w:t>
            </w:r>
            <w:r>
              <w:rPr>
                <w:rFonts w:ascii="宋体" w:hAnsi="宋体" w:eastAsia="宋体" w:cs="宋体"/>
                <w:color w:val="000000"/>
                <w:kern w:val="0"/>
                <w:szCs w:val="21"/>
                <w:highlight w:val="none"/>
              </w:rPr>
              <w:t>80%，得</w:t>
            </w:r>
            <w:r>
              <w:rPr>
                <w:rFonts w:hint="eastAsia" w:ascii="宋体" w:hAnsi="宋体" w:eastAsia="宋体" w:cs="宋体"/>
                <w:color w:val="000000"/>
                <w:kern w:val="0"/>
                <w:szCs w:val="21"/>
                <w:highlight w:val="none"/>
              </w:rPr>
              <w:t>2分；＜</w:t>
            </w:r>
            <w:r>
              <w:rPr>
                <w:rFonts w:ascii="宋体" w:hAnsi="宋体" w:eastAsia="宋体" w:cs="宋体"/>
                <w:color w:val="000000"/>
                <w:kern w:val="0"/>
                <w:szCs w:val="21"/>
                <w:highlight w:val="none"/>
              </w:rPr>
              <w:t>60%，不得分。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该指标满分为14分。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14分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jc w:val="center"/>
        </w:trPr>
        <w:tc>
          <w:tcPr>
            <w:tcW w:w="589" w:type="dxa"/>
            <w:vMerge w:val="continue"/>
            <w:noWrap w:val="0"/>
            <w:vAlign w:val="top"/>
          </w:tcPr>
          <w:p>
            <w:pPr>
              <w:widowControl/>
              <w:jc w:val="both"/>
              <w:rPr>
                <w:rFonts w:ascii="宋体" w:hAnsi="宋体" w:eastAsia="宋体" w:cs="宋体"/>
                <w:b/>
                <w:bCs/>
                <w:color w:val="000000"/>
                <w:kern w:val="0"/>
                <w:szCs w:val="21"/>
                <w:highlight w:val="none"/>
              </w:rPr>
            </w:pPr>
          </w:p>
        </w:tc>
        <w:tc>
          <w:tcPr>
            <w:tcW w:w="695" w:type="dxa"/>
            <w:vMerge w:val="continue"/>
            <w:noWrap w:val="0"/>
            <w:vAlign w:val="top"/>
          </w:tcPr>
          <w:p>
            <w:pPr>
              <w:widowControl/>
              <w:jc w:val="both"/>
              <w:rPr>
                <w:rFonts w:ascii="宋体" w:hAnsi="宋体" w:eastAsia="宋体" w:cs="宋体"/>
                <w:color w:val="000000"/>
                <w:kern w:val="0"/>
                <w:szCs w:val="21"/>
                <w:highlight w:val="none"/>
              </w:rPr>
            </w:pPr>
          </w:p>
        </w:tc>
        <w:tc>
          <w:tcPr>
            <w:tcW w:w="968" w:type="dxa"/>
            <w:noWrap w:val="0"/>
            <w:vAlign w:val="top"/>
          </w:tcPr>
          <w:p>
            <w:pPr>
              <w:widowControl/>
              <w:jc w:val="both"/>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val="en-US" w:eastAsia="zh-CN"/>
              </w:rPr>
              <w:t>88</w:t>
            </w:r>
            <w:r>
              <w:rPr>
                <w:rFonts w:hint="eastAsia" w:ascii="宋体" w:hAnsi="宋体" w:eastAsia="宋体" w:cs="宋体"/>
                <w:color w:val="000000"/>
                <w:kern w:val="0"/>
                <w:szCs w:val="21"/>
                <w:highlight w:val="none"/>
              </w:rPr>
              <w:t>.健康县区建设专业网络</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建立以健康教育专业机构为核心、覆盖辖区内所有医院、公共卫生机构、计划生育服务机构、基层医疗卫生机构的健康促进专业网络。每单位有专（兼）职人员承担健康促进与健康教育工作。定期对专</w:t>
            </w:r>
            <w:r>
              <w:rPr>
                <w:rFonts w:hint="eastAsia" w:ascii="宋体" w:hAnsi="宋体" w:eastAsia="宋体" w:cs="宋体"/>
                <w:color w:val="000000"/>
                <w:kern w:val="0"/>
                <w:szCs w:val="21"/>
                <w:highlight w:val="none"/>
                <w:lang w:eastAsia="zh-CN"/>
              </w:rPr>
              <w:t>（兼）</w:t>
            </w:r>
            <w:r>
              <w:rPr>
                <w:rFonts w:hint="eastAsia" w:ascii="宋体" w:hAnsi="宋体" w:eastAsia="宋体" w:cs="宋体"/>
                <w:color w:val="000000"/>
                <w:kern w:val="0"/>
                <w:szCs w:val="21"/>
                <w:highlight w:val="none"/>
              </w:rPr>
              <w:t>职人员开展培训。</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查阅资料：相关培训资料。</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w:t>
            </w:r>
            <w:r>
              <w:rPr>
                <w:rFonts w:hint="eastAsia" w:ascii="宋体" w:hAnsi="宋体" w:eastAsia="宋体" w:cs="宋体"/>
                <w:color w:val="000000"/>
                <w:kern w:val="0"/>
                <w:szCs w:val="21"/>
                <w:highlight w:val="none"/>
                <w:lang w:val="en-US" w:eastAsia="zh-CN"/>
              </w:rPr>
              <w:t>相关部门</w:t>
            </w:r>
            <w:r>
              <w:rPr>
                <w:rFonts w:hint="eastAsia" w:ascii="宋体" w:hAnsi="宋体" w:eastAsia="宋体" w:cs="宋体"/>
                <w:color w:val="000000"/>
                <w:kern w:val="0"/>
                <w:szCs w:val="21"/>
                <w:highlight w:val="none"/>
              </w:rPr>
              <w:t>。</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1.专业网络覆盖率100%，得10分；≥80%且＜100%，得5分；≥60%且＜80%，得3分；＜60%，不得分。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2.专业网络培训覆盖率达到100%，得10分；≥80%且＜100%，得5分；≥60%且＜80%，得3分；＜60%，不得分。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w:t>
            </w:r>
            <w:r>
              <w:rPr>
                <w:rFonts w:ascii="宋体" w:hAnsi="宋体" w:eastAsia="宋体" w:cs="宋体"/>
                <w:color w:val="000000"/>
                <w:kern w:val="0"/>
                <w:szCs w:val="21"/>
                <w:highlight w:val="none"/>
              </w:rPr>
              <w:t>20</w:t>
            </w:r>
            <w:r>
              <w:rPr>
                <w:rFonts w:hint="eastAsia" w:ascii="宋体" w:hAnsi="宋体" w:eastAsia="宋体" w:cs="宋体"/>
                <w:color w:val="000000"/>
                <w:kern w:val="0"/>
                <w:szCs w:val="21"/>
                <w:highlight w:val="none"/>
              </w:rPr>
              <w:t>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20分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jc w:val="center"/>
        </w:trPr>
        <w:tc>
          <w:tcPr>
            <w:tcW w:w="589" w:type="dxa"/>
            <w:vMerge w:val="continue"/>
            <w:noWrap w:val="0"/>
            <w:vAlign w:val="top"/>
          </w:tcPr>
          <w:p>
            <w:pPr>
              <w:widowControl/>
              <w:jc w:val="both"/>
              <w:rPr>
                <w:rFonts w:ascii="宋体" w:hAnsi="宋体" w:eastAsia="宋体" w:cs="宋体"/>
                <w:color w:val="000000"/>
                <w:kern w:val="0"/>
                <w:szCs w:val="21"/>
                <w:highlight w:val="none"/>
              </w:rPr>
            </w:pPr>
          </w:p>
        </w:tc>
        <w:tc>
          <w:tcPr>
            <w:tcW w:w="6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第三十六条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val="en-US" w:eastAsia="zh-CN"/>
              </w:rPr>
              <w:t>89</w:t>
            </w:r>
            <w:r>
              <w:rPr>
                <w:rFonts w:hint="eastAsia" w:ascii="宋体" w:hAnsi="宋体" w:eastAsia="宋体" w:cs="宋体"/>
                <w:color w:val="000000"/>
                <w:kern w:val="0"/>
                <w:szCs w:val="21"/>
                <w:highlight w:val="none"/>
              </w:rPr>
              <w:t>.健康县区建设自评</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定期开展健康县区建设自评工作，分析建设过程中遇到的困难和问题，适时调整优化建设策略和措施。</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查阅资料：评估文件、评估过程资料、评估报告等相关资料。</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w:t>
            </w:r>
            <w:r>
              <w:rPr>
                <w:rFonts w:hint="eastAsia" w:ascii="宋体" w:hAnsi="宋体" w:eastAsia="宋体" w:cs="宋体"/>
                <w:color w:val="000000"/>
                <w:kern w:val="0"/>
                <w:szCs w:val="21"/>
                <w:highlight w:val="none"/>
                <w:lang w:val="en-US" w:eastAsia="zh-CN"/>
              </w:rPr>
              <w:t>相关部门</w:t>
            </w:r>
            <w:r>
              <w:rPr>
                <w:rFonts w:hint="eastAsia" w:ascii="宋体" w:hAnsi="宋体" w:eastAsia="宋体" w:cs="宋体"/>
                <w:color w:val="000000"/>
                <w:kern w:val="0"/>
                <w:szCs w:val="21"/>
                <w:highlight w:val="none"/>
              </w:rPr>
              <w:t>。</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1.近2年开展了健康县区建设自评工作，有自评报告，得8分；未开展</w:t>
            </w:r>
            <w:r>
              <w:rPr>
                <w:rFonts w:hint="eastAsia" w:ascii="宋体" w:hAnsi="宋体" w:cs="宋体"/>
                <w:color w:val="000000"/>
                <w:kern w:val="0"/>
                <w:szCs w:val="21"/>
                <w:highlight w:val="none"/>
                <w:lang w:eastAsia="zh-CN"/>
              </w:rPr>
              <w:t>，</w:t>
            </w:r>
            <w:r>
              <w:rPr>
                <w:rFonts w:hint="eastAsia" w:ascii="宋体" w:hAnsi="宋体" w:eastAsia="宋体" w:cs="宋体"/>
                <w:color w:val="000000"/>
                <w:kern w:val="0"/>
                <w:szCs w:val="21"/>
                <w:highlight w:val="none"/>
              </w:rPr>
              <w:t>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2.在自评报告中，提出薄弱环节和改进措施，得8分；无自评报告或未提出，不得分。</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该指标满分为16分。</w:t>
            </w:r>
          </w:p>
        </w:tc>
        <w:tc>
          <w:tcPr>
            <w:tcW w:w="6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16分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589" w:type="dxa"/>
            <w:vMerge w:val="continue"/>
            <w:noWrap w:val="0"/>
            <w:vAlign w:val="top"/>
          </w:tcPr>
          <w:p>
            <w:pPr>
              <w:widowControl/>
              <w:jc w:val="both"/>
              <w:rPr>
                <w:rFonts w:ascii="宋体" w:hAnsi="宋体" w:eastAsia="宋体" w:cs="宋体"/>
                <w:color w:val="000000"/>
                <w:kern w:val="0"/>
                <w:szCs w:val="21"/>
                <w:highlight w:val="none"/>
              </w:rPr>
            </w:pPr>
          </w:p>
        </w:tc>
        <w:tc>
          <w:tcPr>
            <w:tcW w:w="6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第三十七条</w:t>
            </w:r>
          </w:p>
        </w:tc>
        <w:tc>
          <w:tcPr>
            <w:tcW w:w="968"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9</w:t>
            </w:r>
            <w:r>
              <w:rPr>
                <w:rFonts w:hint="eastAsia" w:ascii="宋体" w:hAnsi="宋体" w:eastAsia="宋体" w:cs="宋体"/>
                <w:color w:val="000000"/>
                <w:kern w:val="0"/>
                <w:szCs w:val="21"/>
                <w:highlight w:val="none"/>
                <w:lang w:val="en-US" w:eastAsia="zh-CN"/>
              </w:rPr>
              <w:t>0</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rPr>
              <w:t>人工智能和大数据等新技术应用</w:t>
            </w:r>
          </w:p>
        </w:tc>
        <w:tc>
          <w:tcPr>
            <w:tcW w:w="249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在健康县区建设的组织实施、监测评价等管理环节中，或在各建设领域的具体工作中，使用人工智能和大数据等新技术，利用信息化手段提升健康县区建设水平。</w:t>
            </w:r>
          </w:p>
        </w:tc>
        <w:tc>
          <w:tcPr>
            <w:tcW w:w="3095"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查阅资料：人工智能和大数据等新技术应用的相关工作资料。</w:t>
            </w:r>
          </w:p>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资料来源：</w:t>
            </w:r>
            <w:r>
              <w:rPr>
                <w:rFonts w:hint="eastAsia" w:ascii="宋体" w:hAnsi="宋体" w:eastAsia="宋体" w:cs="宋体"/>
                <w:color w:val="000000"/>
                <w:kern w:val="0"/>
                <w:szCs w:val="21"/>
                <w:highlight w:val="none"/>
                <w:lang w:val="en-US" w:eastAsia="zh-CN"/>
              </w:rPr>
              <w:t>相关部门</w:t>
            </w:r>
            <w:r>
              <w:rPr>
                <w:rFonts w:hint="eastAsia" w:ascii="宋体" w:hAnsi="宋体" w:eastAsia="宋体" w:cs="宋体"/>
                <w:color w:val="000000"/>
                <w:kern w:val="0"/>
                <w:szCs w:val="21"/>
                <w:highlight w:val="none"/>
              </w:rPr>
              <w:t>。</w:t>
            </w:r>
          </w:p>
        </w:tc>
        <w:tc>
          <w:tcPr>
            <w:tcW w:w="5836" w:type="dxa"/>
            <w:noWrap w:val="0"/>
            <w:vAlign w:val="top"/>
          </w:tcPr>
          <w:p>
            <w:pPr>
              <w:widowControl/>
              <w:jc w:val="both"/>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在管理环节或具体工作中使用人工智能和大数据等新技术，每项</w:t>
            </w:r>
            <w:r>
              <w:rPr>
                <w:rFonts w:hint="default" w:ascii="宋体" w:hAnsi="宋体" w:eastAsia="宋体" w:cs="宋体"/>
                <w:color w:val="000000"/>
                <w:kern w:val="0"/>
                <w:szCs w:val="21"/>
                <w:highlight w:val="none"/>
                <w:lang w:val="en-US"/>
              </w:rPr>
              <w:t>应用</w:t>
            </w:r>
            <w:r>
              <w:rPr>
                <w:rFonts w:hint="eastAsia" w:ascii="宋体" w:hAnsi="宋体" w:eastAsia="宋体" w:cs="宋体"/>
                <w:color w:val="000000"/>
                <w:kern w:val="0"/>
                <w:szCs w:val="21"/>
                <w:highlight w:val="none"/>
              </w:rPr>
              <w:t>得</w:t>
            </w:r>
            <w:r>
              <w:rPr>
                <w:rFonts w:ascii="宋体" w:hAnsi="宋体" w:eastAsia="宋体" w:cs="宋体"/>
                <w:color w:val="000000"/>
                <w:kern w:val="0"/>
                <w:szCs w:val="21"/>
                <w:highlight w:val="none"/>
              </w:rPr>
              <w:t>2</w:t>
            </w:r>
            <w:r>
              <w:rPr>
                <w:rFonts w:hint="eastAsia" w:ascii="宋体" w:hAnsi="宋体" w:eastAsia="宋体" w:cs="宋体"/>
                <w:color w:val="000000"/>
                <w:kern w:val="0"/>
                <w:szCs w:val="21"/>
                <w:highlight w:val="none"/>
              </w:rPr>
              <w:t>分，满分为</w:t>
            </w:r>
            <w:r>
              <w:rPr>
                <w:rFonts w:ascii="宋体" w:hAnsi="宋体" w:eastAsia="宋体" w:cs="宋体"/>
                <w:color w:val="000000"/>
                <w:kern w:val="0"/>
                <w:szCs w:val="21"/>
                <w:highlight w:val="none"/>
              </w:rPr>
              <w:t>10</w:t>
            </w:r>
            <w:r>
              <w:rPr>
                <w:rFonts w:hint="eastAsia" w:ascii="宋体" w:hAnsi="宋体" w:eastAsia="宋体" w:cs="宋体"/>
                <w:color w:val="000000"/>
                <w:kern w:val="0"/>
                <w:szCs w:val="21"/>
                <w:highlight w:val="none"/>
              </w:rPr>
              <w:t>分。</w:t>
            </w:r>
          </w:p>
        </w:tc>
        <w:tc>
          <w:tcPr>
            <w:tcW w:w="696" w:type="dxa"/>
            <w:noWrap w:val="0"/>
            <w:vAlign w:val="top"/>
          </w:tcPr>
          <w:p>
            <w:pPr>
              <w:widowControl/>
              <w:jc w:val="both"/>
              <w:rPr>
                <w:rFonts w:ascii="宋体" w:hAnsi="宋体" w:eastAsia="宋体" w:cs="宋体"/>
                <w:color w:val="000000"/>
                <w:kern w:val="0"/>
                <w:szCs w:val="21"/>
                <w:highlight w:val="none"/>
              </w:rPr>
            </w:pPr>
            <w:r>
              <w:rPr>
                <w:rFonts w:ascii="宋体" w:hAnsi="宋体" w:eastAsia="宋体" w:cs="宋体"/>
                <w:color w:val="000000"/>
                <w:kern w:val="0"/>
                <w:szCs w:val="21"/>
                <w:highlight w:val="none"/>
              </w:rPr>
              <w:t>10</w:t>
            </w:r>
            <w:r>
              <w:rPr>
                <w:rFonts w:hint="eastAsia" w:ascii="宋体" w:hAnsi="宋体" w:eastAsia="宋体" w:cs="宋体"/>
                <w:color w:val="000000"/>
                <w:kern w:val="0"/>
                <w:szCs w:val="21"/>
                <w:highlight w:val="none"/>
              </w:rPr>
              <w:t>分</w:t>
            </w:r>
          </w:p>
        </w:tc>
        <w:tc>
          <w:tcPr>
            <w:tcW w:w="900" w:type="dxa"/>
            <w:vMerge w:val="continue"/>
            <w:noWrap w:val="0"/>
            <w:vAlign w:val="top"/>
          </w:tcPr>
          <w:p>
            <w:pPr>
              <w:widowControl/>
              <w:jc w:val="both"/>
              <w:rPr>
                <w:rFonts w:ascii="宋体" w:hAnsi="宋体" w:eastAsia="宋体" w:cs="宋体"/>
                <w:color w:val="000000"/>
                <w:kern w:val="0"/>
                <w:szCs w:val="21"/>
                <w:highlight w:val="none"/>
              </w:rPr>
            </w:pPr>
          </w:p>
        </w:tc>
      </w:tr>
    </w:tbl>
    <w:p>
      <w:pPr>
        <w:rPr>
          <w:rFonts w:ascii="宋体" w:hAnsi="宋体" w:eastAsia="宋体" w:cs="Times New Roman"/>
          <w:b/>
          <w:szCs w:val="21"/>
        </w:rPr>
      </w:pPr>
    </w:p>
    <w:p>
      <w:pPr>
        <w:widowControl/>
        <w:jc w:val="left"/>
        <w:rPr>
          <w:rFonts w:ascii="黑体" w:hAnsi="黑体" w:eastAsia="黑体" w:cs="宋体"/>
          <w:b w:val="0"/>
          <w:bCs w:val="0"/>
          <w:color w:val="000000"/>
          <w:kern w:val="0"/>
          <w:szCs w:val="21"/>
        </w:rPr>
      </w:pPr>
      <w:r>
        <w:rPr>
          <w:rFonts w:hint="eastAsia" w:ascii="黑体" w:hAnsi="黑体" w:eastAsia="黑体" w:cs="宋体"/>
          <w:b w:val="0"/>
          <w:bCs w:val="0"/>
          <w:color w:val="000000"/>
          <w:kern w:val="0"/>
          <w:szCs w:val="21"/>
        </w:rPr>
        <w:t>附录1</w:t>
      </w:r>
      <w:r>
        <w:rPr>
          <w:rFonts w:ascii="黑体" w:hAnsi="黑体" w:eastAsia="黑体" w:cs="宋体"/>
          <w:b w:val="0"/>
          <w:bCs w:val="0"/>
          <w:color w:val="000000"/>
          <w:kern w:val="0"/>
          <w:szCs w:val="21"/>
        </w:rPr>
        <w:t xml:space="preserve"> </w:t>
      </w:r>
      <w:r>
        <w:rPr>
          <w:rFonts w:hint="eastAsia" w:ascii="黑体" w:hAnsi="黑体" w:eastAsia="黑体" w:cs="宋体"/>
          <w:b w:val="0"/>
          <w:bCs w:val="0"/>
          <w:color w:val="000000"/>
          <w:kern w:val="0"/>
          <w:szCs w:val="21"/>
        </w:rPr>
        <w:t>现场抽查单位及查看内容</w:t>
      </w:r>
    </w:p>
    <w:p>
      <w:pPr>
        <w:widowControl/>
        <w:jc w:val="left"/>
        <w:rPr>
          <w:rFonts w:ascii="宋体" w:hAnsi="宋体" w:eastAsia="宋体" w:cs="Times New Roman"/>
          <w:b w:val="0"/>
          <w:bCs w:val="0"/>
          <w:szCs w:val="21"/>
        </w:rPr>
      </w:pPr>
      <w:r>
        <w:rPr>
          <w:rFonts w:hint="eastAsia" w:ascii="黑体" w:hAnsi="黑体" w:eastAsia="黑体" w:cs="宋体"/>
          <w:b w:val="0"/>
          <w:bCs w:val="0"/>
          <w:color w:val="000000"/>
          <w:kern w:val="0"/>
          <w:szCs w:val="21"/>
        </w:rPr>
        <w:t>附录2 评估细则中引用的标准和文件</w:t>
      </w:r>
    </w:p>
    <w:p>
      <w:pPr>
        <w:widowControl/>
        <w:jc w:val="left"/>
        <w:rPr>
          <w:rFonts w:ascii="宋体" w:hAnsi="宋体" w:cs="宋体"/>
          <w:color w:val="000000"/>
          <w:kern w:val="0"/>
          <w:sz w:val="20"/>
          <w:szCs w:val="20"/>
        </w:rPr>
        <w:sectPr>
          <w:footerReference r:id="rId3" w:type="default"/>
          <w:pgSz w:w="16838" w:h="11906" w:orient="landscape"/>
          <w:pgMar w:top="1800" w:right="1440" w:bottom="1800" w:left="1440" w:header="851" w:footer="992" w:gutter="0"/>
          <w:cols w:space="720" w:num="1"/>
          <w:docGrid w:type="lines" w:linePitch="312" w:charSpace="0"/>
        </w:sectPr>
      </w:pPr>
    </w:p>
    <w:tbl>
      <w:tblPr>
        <w:tblStyle w:val="5"/>
        <w:tblW w:w="10588" w:type="dxa"/>
        <w:jc w:val="center"/>
        <w:tblLayout w:type="fixed"/>
        <w:tblCellMar>
          <w:top w:w="0" w:type="dxa"/>
          <w:left w:w="108" w:type="dxa"/>
          <w:bottom w:w="0" w:type="dxa"/>
          <w:right w:w="108" w:type="dxa"/>
        </w:tblCellMar>
      </w:tblPr>
      <w:tblGrid>
        <w:gridCol w:w="2004"/>
        <w:gridCol w:w="6785"/>
        <w:gridCol w:w="1780"/>
        <w:gridCol w:w="19"/>
      </w:tblGrid>
      <w:tr>
        <w:trPr>
          <w:trHeight w:val="420" w:hRule="atLeast"/>
          <w:jc w:val="center"/>
        </w:trPr>
        <w:tc>
          <w:tcPr>
            <w:tcW w:w="10588" w:type="dxa"/>
            <w:gridSpan w:val="4"/>
            <w:tcBorders>
              <w:top w:val="nil"/>
              <w:left w:val="nil"/>
              <w:bottom w:val="nil"/>
              <w:right w:val="nil"/>
            </w:tcBorders>
            <w:noWrap/>
            <w:vAlign w:val="center"/>
          </w:tcPr>
          <w:p>
            <w:pPr>
              <w:widowControl/>
              <w:jc w:val="center"/>
              <w:rPr>
                <w:rFonts w:ascii="黑体" w:hAnsi="黑体" w:eastAsia="黑体" w:cs="宋体"/>
                <w:b w:val="0"/>
                <w:bCs w:val="0"/>
                <w:color w:val="000000"/>
                <w:kern w:val="0"/>
                <w:sz w:val="36"/>
                <w:szCs w:val="36"/>
                <w:highlight w:val="none"/>
              </w:rPr>
            </w:pPr>
            <w:r>
              <w:rPr>
                <w:rFonts w:hint="eastAsia" w:ascii="黑体" w:hAnsi="黑体" w:eastAsia="黑体" w:cs="宋体"/>
                <w:b w:val="0"/>
                <w:bCs w:val="0"/>
                <w:color w:val="000000"/>
                <w:kern w:val="0"/>
                <w:sz w:val="36"/>
                <w:szCs w:val="36"/>
                <w:highlight w:val="none"/>
              </w:rPr>
              <w:t>附录1：现场抽查单位及查看内容</w:t>
            </w:r>
          </w:p>
        </w:tc>
      </w:tr>
      <w:tr>
        <w:trPr>
          <w:gridAfter w:val="1"/>
          <w:wAfter w:w="19" w:type="dxa"/>
          <w:trHeight w:val="552" w:hRule="atLeast"/>
          <w:jc w:val="center"/>
        </w:trPr>
        <w:tc>
          <w:tcPr>
            <w:tcW w:w="20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黑体" w:hAnsi="黑体" w:eastAsia="黑体" w:cs="宋体"/>
                <w:b w:val="0"/>
                <w:bCs w:val="0"/>
                <w:color w:val="000000"/>
                <w:kern w:val="0"/>
                <w:sz w:val="20"/>
                <w:szCs w:val="20"/>
                <w:highlight w:val="none"/>
              </w:rPr>
            </w:pPr>
            <w:r>
              <w:rPr>
                <w:rFonts w:hint="eastAsia" w:ascii="黑体" w:hAnsi="黑体" w:eastAsia="黑体" w:cs="宋体"/>
                <w:b w:val="0"/>
                <w:bCs w:val="0"/>
                <w:color w:val="000000"/>
                <w:kern w:val="0"/>
                <w:sz w:val="20"/>
                <w:szCs w:val="20"/>
                <w:highlight w:val="none"/>
              </w:rPr>
              <w:t>抽查单位</w:t>
            </w:r>
          </w:p>
        </w:tc>
        <w:tc>
          <w:tcPr>
            <w:tcW w:w="6785" w:type="dxa"/>
            <w:tcBorders>
              <w:top w:val="single" w:color="auto" w:sz="4" w:space="0"/>
              <w:left w:val="nil"/>
              <w:bottom w:val="single" w:color="auto" w:sz="4" w:space="0"/>
              <w:right w:val="single" w:color="auto" w:sz="4" w:space="0"/>
            </w:tcBorders>
            <w:noWrap/>
            <w:vAlign w:val="center"/>
          </w:tcPr>
          <w:p>
            <w:pPr>
              <w:widowControl/>
              <w:jc w:val="center"/>
              <w:rPr>
                <w:rFonts w:ascii="黑体" w:hAnsi="黑体" w:eastAsia="黑体" w:cs="宋体"/>
                <w:b w:val="0"/>
                <w:bCs w:val="0"/>
                <w:color w:val="000000"/>
                <w:kern w:val="0"/>
                <w:sz w:val="20"/>
                <w:szCs w:val="20"/>
                <w:highlight w:val="none"/>
              </w:rPr>
            </w:pPr>
            <w:r>
              <w:rPr>
                <w:rFonts w:hint="eastAsia" w:ascii="黑体" w:hAnsi="黑体" w:eastAsia="黑体" w:cs="宋体"/>
                <w:b w:val="0"/>
                <w:bCs w:val="0"/>
                <w:color w:val="000000"/>
                <w:kern w:val="0"/>
                <w:sz w:val="20"/>
                <w:szCs w:val="20"/>
                <w:highlight w:val="none"/>
              </w:rPr>
              <w:t>现场查看内容</w:t>
            </w:r>
          </w:p>
        </w:tc>
        <w:tc>
          <w:tcPr>
            <w:tcW w:w="1780" w:type="dxa"/>
            <w:tcBorders>
              <w:top w:val="single" w:color="auto" w:sz="4" w:space="0"/>
              <w:left w:val="nil"/>
              <w:bottom w:val="single" w:color="auto" w:sz="4" w:space="0"/>
              <w:right w:val="single" w:color="auto" w:sz="4" w:space="0"/>
            </w:tcBorders>
            <w:noWrap/>
            <w:vAlign w:val="center"/>
          </w:tcPr>
          <w:p>
            <w:pPr>
              <w:widowControl/>
              <w:jc w:val="center"/>
              <w:rPr>
                <w:rFonts w:ascii="黑体" w:hAnsi="黑体" w:eastAsia="黑体" w:cs="宋体"/>
                <w:b w:val="0"/>
                <w:bCs w:val="0"/>
                <w:color w:val="000000"/>
                <w:kern w:val="0"/>
                <w:sz w:val="20"/>
                <w:szCs w:val="20"/>
                <w:highlight w:val="none"/>
              </w:rPr>
            </w:pPr>
            <w:r>
              <w:rPr>
                <w:rFonts w:hint="eastAsia" w:ascii="黑体" w:hAnsi="黑体" w:eastAsia="黑体" w:cs="宋体"/>
                <w:b w:val="0"/>
                <w:bCs w:val="0"/>
                <w:color w:val="000000"/>
                <w:kern w:val="0"/>
                <w:sz w:val="20"/>
                <w:szCs w:val="20"/>
                <w:highlight w:val="none"/>
              </w:rPr>
              <w:t>所属条目</w:t>
            </w:r>
          </w:p>
        </w:tc>
      </w:tr>
      <w:tr>
        <w:trPr>
          <w:gridAfter w:val="1"/>
          <w:wAfter w:w="19" w:type="dxa"/>
          <w:trHeight w:val="755" w:hRule="atLeast"/>
          <w:jc w:val="center"/>
        </w:trPr>
        <w:tc>
          <w:tcPr>
            <w:tcW w:w="2004" w:type="dxa"/>
            <w:vMerge w:val="restart"/>
            <w:tcBorders>
              <w:top w:val="single" w:color="auto" w:sz="4" w:space="0"/>
              <w:left w:val="single" w:color="auto" w:sz="4" w:space="0"/>
              <w:right w:val="single" w:color="auto" w:sz="4" w:space="0"/>
            </w:tcBorders>
            <w:noWrap/>
            <w:vAlign w:val="center"/>
          </w:tcPr>
          <w:p>
            <w:pPr>
              <w:jc w:val="left"/>
              <w:rPr>
                <w:rFonts w:hint="eastAsia" w:ascii="宋体" w:hAnsi="宋体" w:eastAsia="宋体" w:cs="宋体"/>
                <w:b/>
                <w:bCs/>
                <w:color w:val="000000"/>
                <w:kern w:val="0"/>
                <w:sz w:val="20"/>
                <w:szCs w:val="20"/>
                <w:highlight w:val="none"/>
              </w:rPr>
            </w:pPr>
            <w:r>
              <w:rPr>
                <w:rFonts w:hint="eastAsia" w:ascii="宋体" w:hAnsi="宋体" w:eastAsia="宋体" w:cs="宋体"/>
                <w:color w:val="000000"/>
                <w:kern w:val="0"/>
                <w:sz w:val="20"/>
                <w:szCs w:val="20"/>
                <w:highlight w:val="none"/>
              </w:rPr>
              <w:t>1个城区居民小区</w:t>
            </w:r>
          </w:p>
        </w:tc>
        <w:tc>
          <w:tcPr>
            <w:tcW w:w="6785" w:type="dxa"/>
            <w:tcBorders>
              <w:top w:val="single" w:color="auto" w:sz="4" w:space="0"/>
              <w:left w:val="nil"/>
              <w:bottom w:val="single" w:color="auto" w:sz="4" w:space="0"/>
              <w:right w:val="single" w:color="auto" w:sz="4" w:space="0"/>
            </w:tcBorders>
            <w:noWrap/>
            <w:vAlign w:val="center"/>
          </w:tcPr>
          <w:p>
            <w:pPr>
              <w:widowControl w:val="0"/>
              <w:autoSpaceDE w:val="0"/>
              <w:autoSpaceDN w:val="0"/>
              <w:adjustRightInd w:val="0"/>
              <w:rPr>
                <w:rFonts w:hint="eastAsia" w:ascii="宋体" w:hAnsi="宋体" w:eastAsia="宋体" w:cs="宋体"/>
                <w:b/>
                <w:bCs/>
                <w:color w:val="000000"/>
                <w:sz w:val="20"/>
                <w:szCs w:val="20"/>
                <w:highlight w:val="none"/>
                <w:lang w:val="en-US" w:eastAsia="zh-CN" w:bidi="ar-SA"/>
              </w:rPr>
            </w:pPr>
            <w:r>
              <w:rPr>
                <w:rFonts w:hint="eastAsia" w:ascii="宋体" w:hAnsi="宋体" w:eastAsia="宋体" w:cs="宋体"/>
                <w:color w:val="000000"/>
                <w:sz w:val="20"/>
                <w:szCs w:val="20"/>
                <w:highlight w:val="none"/>
                <w:lang w:val="en-US" w:eastAsia="zh-CN" w:bidi="ar-SA"/>
              </w:rPr>
              <w:t>至少建有盲道、无障碍卫生间（厕位）、出入口无障碍设施、低位服务设施、无障碍停车位、无障碍标志这6种无障碍设施的3种及以上。</w:t>
            </w:r>
          </w:p>
        </w:tc>
        <w:tc>
          <w:tcPr>
            <w:tcW w:w="1780"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宋体"/>
                <w:b/>
                <w:bCs/>
                <w:color w:val="000000"/>
                <w:kern w:val="0"/>
                <w:sz w:val="20"/>
                <w:szCs w:val="20"/>
                <w:highlight w:val="none"/>
                <w:lang w:eastAsia="zh-CN"/>
              </w:rPr>
            </w:pPr>
            <w:r>
              <w:rPr>
                <w:rFonts w:hint="eastAsia" w:ascii="宋体" w:hAnsi="宋体" w:eastAsia="宋体" w:cs="宋体"/>
                <w:color w:val="000000"/>
                <w:kern w:val="0"/>
                <w:sz w:val="20"/>
                <w:szCs w:val="20"/>
                <w:highlight w:val="none"/>
              </w:rPr>
              <w:t>第十条，1</w:t>
            </w:r>
            <w:r>
              <w:rPr>
                <w:rFonts w:hint="eastAsia" w:ascii="宋体" w:hAnsi="宋体" w:eastAsia="宋体" w:cs="宋体"/>
                <w:color w:val="000000"/>
                <w:kern w:val="0"/>
                <w:sz w:val="20"/>
                <w:szCs w:val="20"/>
                <w:highlight w:val="none"/>
                <w:lang w:val="en-US" w:eastAsia="zh-CN"/>
              </w:rPr>
              <w:t>0</w:t>
            </w:r>
          </w:p>
        </w:tc>
      </w:tr>
      <w:tr>
        <w:trPr>
          <w:gridAfter w:val="1"/>
          <w:wAfter w:w="19" w:type="dxa"/>
          <w:trHeight w:val="420" w:hRule="atLeast"/>
          <w:jc w:val="center"/>
        </w:trPr>
        <w:tc>
          <w:tcPr>
            <w:tcW w:w="2004"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垃圾分类符合城乡垃圾分类相关规范要求。</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第十三条，2</w:t>
            </w:r>
            <w:r>
              <w:rPr>
                <w:rFonts w:hint="eastAsia" w:ascii="宋体" w:hAnsi="宋体" w:eastAsia="宋体" w:cs="宋体"/>
                <w:color w:val="000000"/>
                <w:kern w:val="0"/>
                <w:sz w:val="20"/>
                <w:szCs w:val="20"/>
                <w:highlight w:val="none"/>
                <w:lang w:val="en-US" w:eastAsia="zh-CN"/>
              </w:rPr>
              <w:t>3</w:t>
            </w:r>
          </w:p>
        </w:tc>
      </w:tr>
      <w:tr>
        <w:trPr>
          <w:gridAfter w:val="1"/>
          <w:wAfter w:w="19" w:type="dxa"/>
          <w:trHeight w:val="689" w:hRule="atLeast"/>
          <w:jc w:val="center"/>
        </w:trPr>
        <w:tc>
          <w:tcPr>
            <w:tcW w:w="2004"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有无瓶瓶罐罐（无盖）、轮胎积水、坑洼等小型积水，雨水道口等排水系统无积水，垃圾桶加盖。</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第十四条，</w:t>
            </w:r>
            <w:r>
              <w:rPr>
                <w:rFonts w:hint="eastAsia" w:ascii="宋体" w:hAnsi="宋体" w:eastAsia="宋体" w:cs="宋体"/>
                <w:color w:val="000000"/>
                <w:kern w:val="0"/>
                <w:sz w:val="20"/>
                <w:szCs w:val="20"/>
                <w:highlight w:val="none"/>
                <w:lang w:val="en-US" w:eastAsia="zh-CN"/>
              </w:rPr>
              <w:t>28</w:t>
            </w:r>
          </w:p>
        </w:tc>
      </w:tr>
      <w:tr>
        <w:trPr>
          <w:gridAfter w:val="1"/>
          <w:wAfter w:w="19" w:type="dxa"/>
          <w:trHeight w:val="463" w:hRule="atLeast"/>
          <w:jc w:val="center"/>
        </w:trPr>
        <w:tc>
          <w:tcPr>
            <w:tcW w:w="2004"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被抽查居民小区所在街道病媒生物密度控制水平。</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第十四条，</w:t>
            </w:r>
            <w:r>
              <w:rPr>
                <w:rFonts w:hint="eastAsia" w:ascii="宋体" w:hAnsi="宋体" w:eastAsia="宋体" w:cs="宋体"/>
                <w:color w:val="000000"/>
                <w:kern w:val="0"/>
                <w:sz w:val="20"/>
                <w:szCs w:val="20"/>
                <w:highlight w:val="none"/>
                <w:lang w:val="en-US" w:eastAsia="zh-CN"/>
              </w:rPr>
              <w:t>28</w:t>
            </w:r>
          </w:p>
        </w:tc>
      </w:tr>
      <w:tr>
        <w:trPr>
          <w:gridAfter w:val="1"/>
          <w:wAfter w:w="19" w:type="dxa"/>
          <w:trHeight w:val="376" w:hRule="atLeast"/>
          <w:jc w:val="center"/>
        </w:trPr>
        <w:tc>
          <w:tcPr>
            <w:tcW w:w="2004"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健康细胞建设情况。</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第十六条，</w:t>
            </w:r>
            <w:r>
              <w:rPr>
                <w:rFonts w:hint="eastAsia" w:ascii="宋体" w:hAnsi="宋体" w:eastAsia="宋体" w:cs="宋体"/>
                <w:color w:val="000000"/>
                <w:kern w:val="0"/>
                <w:sz w:val="20"/>
                <w:szCs w:val="20"/>
                <w:highlight w:val="none"/>
                <w:lang w:val="en-US" w:eastAsia="zh-CN"/>
              </w:rPr>
              <w:t>39</w:t>
            </w:r>
          </w:p>
        </w:tc>
      </w:tr>
      <w:tr>
        <w:trPr>
          <w:gridAfter w:val="1"/>
          <w:wAfter w:w="19" w:type="dxa"/>
          <w:trHeight w:val="463" w:hRule="atLeast"/>
          <w:jc w:val="center"/>
        </w:trPr>
        <w:tc>
          <w:tcPr>
            <w:tcW w:w="2004"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查看托育服务设施的建设情况。</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第十九条，4</w:t>
            </w:r>
            <w:r>
              <w:rPr>
                <w:rFonts w:hint="eastAsia" w:ascii="宋体" w:hAnsi="宋体" w:eastAsia="宋体" w:cs="宋体"/>
                <w:color w:val="000000"/>
                <w:kern w:val="0"/>
                <w:sz w:val="20"/>
                <w:szCs w:val="20"/>
                <w:highlight w:val="none"/>
                <w:lang w:val="en-US" w:eastAsia="zh-CN"/>
              </w:rPr>
              <w:t>7</w:t>
            </w:r>
          </w:p>
        </w:tc>
      </w:tr>
      <w:tr>
        <w:trPr>
          <w:gridAfter w:val="1"/>
          <w:wAfter w:w="19" w:type="dxa"/>
          <w:trHeight w:val="1089" w:hRule="atLeast"/>
          <w:jc w:val="center"/>
        </w:trPr>
        <w:tc>
          <w:tcPr>
            <w:tcW w:w="2004"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消防设施齐全、完好</w:t>
            </w:r>
            <w:r>
              <w:rPr>
                <w:rFonts w:hint="eastAsia" w:ascii="宋体" w:hAnsi="宋体" w:eastAsia="宋体" w:cs="宋体"/>
                <w:color w:val="000000"/>
                <w:kern w:val="0"/>
                <w:szCs w:val="21"/>
                <w:highlight w:val="none"/>
              </w:rPr>
              <w:t>（火灾自动报警系统、自动灭火系统、消火栓系统、防烟排烟系统以及应急广播和应急照明、安全疏散设施等）</w:t>
            </w:r>
            <w:r>
              <w:rPr>
                <w:rFonts w:hint="eastAsia" w:ascii="宋体" w:hAnsi="宋体" w:eastAsia="宋体" w:cs="宋体"/>
                <w:color w:val="000000"/>
                <w:kern w:val="0"/>
                <w:sz w:val="20"/>
                <w:szCs w:val="20"/>
                <w:highlight w:val="none"/>
              </w:rPr>
              <w:t>，消防车通道通畅。</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第二十条，5</w:t>
            </w:r>
            <w:r>
              <w:rPr>
                <w:rFonts w:hint="eastAsia" w:ascii="宋体" w:hAnsi="宋体" w:eastAsia="宋体" w:cs="宋体"/>
                <w:color w:val="000000"/>
                <w:kern w:val="0"/>
                <w:sz w:val="20"/>
                <w:szCs w:val="20"/>
                <w:highlight w:val="none"/>
                <w:lang w:val="en-US" w:eastAsia="zh-CN"/>
              </w:rPr>
              <w:t>2</w:t>
            </w:r>
          </w:p>
        </w:tc>
      </w:tr>
      <w:tr>
        <w:trPr>
          <w:gridAfter w:val="1"/>
          <w:wAfter w:w="19" w:type="dxa"/>
          <w:trHeight w:val="474" w:hRule="atLeast"/>
          <w:jc w:val="center"/>
        </w:trPr>
        <w:tc>
          <w:tcPr>
            <w:tcW w:w="2004" w:type="dxa"/>
            <w:vMerge w:val="restart"/>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1个行政村</w:t>
            </w: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垃圾分类符合城乡垃圾分类相关规范要求。</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第十三条，2</w:t>
            </w:r>
            <w:r>
              <w:rPr>
                <w:rFonts w:hint="eastAsia" w:ascii="宋体" w:hAnsi="宋体" w:eastAsia="宋体" w:cs="宋体"/>
                <w:color w:val="000000"/>
                <w:kern w:val="0"/>
                <w:sz w:val="20"/>
                <w:szCs w:val="20"/>
                <w:highlight w:val="none"/>
                <w:lang w:val="en-US" w:eastAsia="zh-CN"/>
              </w:rPr>
              <w:t>3</w:t>
            </w:r>
          </w:p>
        </w:tc>
      </w:tr>
      <w:tr>
        <w:trPr>
          <w:gridAfter w:val="1"/>
          <w:wAfter w:w="19" w:type="dxa"/>
          <w:trHeight w:val="497" w:hRule="atLeast"/>
          <w:jc w:val="center"/>
        </w:trPr>
        <w:tc>
          <w:tcPr>
            <w:tcW w:w="200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健康细胞建设情况。</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val="en-US" w:eastAsia="zh-CN" w:bidi="ar-SA"/>
              </w:rPr>
            </w:pPr>
            <w:r>
              <w:rPr>
                <w:rFonts w:hint="eastAsia" w:ascii="宋体" w:hAnsi="宋体" w:eastAsia="宋体" w:cs="宋体"/>
                <w:color w:val="000000"/>
                <w:kern w:val="0"/>
                <w:sz w:val="20"/>
                <w:szCs w:val="20"/>
                <w:highlight w:val="none"/>
              </w:rPr>
              <w:t>第十六条，</w:t>
            </w:r>
            <w:r>
              <w:rPr>
                <w:rFonts w:hint="eastAsia" w:ascii="宋体" w:hAnsi="宋体" w:eastAsia="宋体" w:cs="宋体"/>
                <w:color w:val="000000"/>
                <w:kern w:val="0"/>
                <w:sz w:val="20"/>
                <w:szCs w:val="20"/>
                <w:highlight w:val="none"/>
                <w:lang w:val="en-US" w:eastAsia="zh-CN"/>
              </w:rPr>
              <w:t>39</w:t>
            </w:r>
          </w:p>
        </w:tc>
      </w:tr>
      <w:tr>
        <w:trPr>
          <w:gridAfter w:val="1"/>
          <w:wAfter w:w="19" w:type="dxa"/>
          <w:trHeight w:val="485" w:hRule="atLeast"/>
          <w:jc w:val="center"/>
        </w:trPr>
        <w:tc>
          <w:tcPr>
            <w:tcW w:w="200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1个行政村的5户农村家庭</w:t>
            </w: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自来水入户情况。</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第十二条，2</w:t>
            </w:r>
            <w:r>
              <w:rPr>
                <w:rFonts w:hint="eastAsia" w:ascii="宋体" w:hAnsi="宋体" w:eastAsia="宋体" w:cs="宋体"/>
                <w:color w:val="000000"/>
                <w:kern w:val="0"/>
                <w:sz w:val="20"/>
                <w:szCs w:val="20"/>
                <w:highlight w:val="none"/>
                <w:lang w:val="en-US" w:eastAsia="zh-CN"/>
              </w:rPr>
              <w:t>1</w:t>
            </w:r>
          </w:p>
        </w:tc>
      </w:tr>
      <w:tr>
        <w:trPr>
          <w:gridAfter w:val="1"/>
          <w:wAfter w:w="19" w:type="dxa"/>
          <w:trHeight w:val="1012" w:hRule="atLeast"/>
          <w:jc w:val="center"/>
        </w:trPr>
        <w:tc>
          <w:tcPr>
            <w:tcW w:w="200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卫生厕所查验标准：卫生厕所指有墙、有顶、有门，厕屋清洁、无臭，粪池无渗漏、无粪便暴露、无蝇蛆，厕所粪污就地处理处置，或转移至户厕外进行处理处置，达到无害化卫生要求。</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第十四条，2</w:t>
            </w:r>
            <w:r>
              <w:rPr>
                <w:rFonts w:hint="eastAsia" w:ascii="宋体" w:hAnsi="宋体" w:eastAsia="宋体" w:cs="宋体"/>
                <w:color w:val="000000"/>
                <w:kern w:val="0"/>
                <w:sz w:val="20"/>
                <w:szCs w:val="20"/>
                <w:highlight w:val="none"/>
                <w:lang w:val="en-US" w:eastAsia="zh-CN"/>
              </w:rPr>
              <w:t>7</w:t>
            </w:r>
          </w:p>
        </w:tc>
      </w:tr>
      <w:tr>
        <w:trPr>
          <w:gridAfter w:val="1"/>
          <w:wAfter w:w="19" w:type="dxa"/>
          <w:trHeight w:val="475" w:hRule="atLeast"/>
          <w:jc w:val="center"/>
        </w:trPr>
        <w:tc>
          <w:tcPr>
            <w:tcW w:w="200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查看禽畜饲养情况评判标准：禽畜圈养；及时清理粪便。</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第十四条，</w:t>
            </w:r>
            <w:r>
              <w:rPr>
                <w:rFonts w:hint="eastAsia" w:ascii="宋体" w:hAnsi="宋体" w:eastAsia="宋体" w:cs="宋体"/>
                <w:color w:val="000000"/>
                <w:kern w:val="0"/>
                <w:sz w:val="20"/>
                <w:szCs w:val="20"/>
                <w:highlight w:val="none"/>
                <w:lang w:val="en-US" w:eastAsia="zh-CN"/>
              </w:rPr>
              <w:t>29</w:t>
            </w:r>
          </w:p>
        </w:tc>
      </w:tr>
      <w:tr>
        <w:trPr>
          <w:gridAfter w:val="1"/>
          <w:wAfter w:w="19" w:type="dxa"/>
          <w:trHeight w:val="421" w:hRule="atLeast"/>
          <w:jc w:val="center"/>
        </w:trPr>
        <w:tc>
          <w:tcPr>
            <w:tcW w:w="200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1家县级医院和1家乡镇卫生院</w:t>
            </w: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医疗废物管理制度健全、医疗废物处置规范。</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第十三条，2</w:t>
            </w:r>
            <w:r>
              <w:rPr>
                <w:rFonts w:hint="eastAsia" w:ascii="宋体" w:hAnsi="宋体" w:eastAsia="宋体" w:cs="宋体"/>
                <w:color w:val="000000"/>
                <w:kern w:val="0"/>
                <w:sz w:val="20"/>
                <w:szCs w:val="20"/>
                <w:highlight w:val="none"/>
                <w:lang w:val="en-US" w:eastAsia="zh-CN"/>
              </w:rPr>
              <w:t>5</w:t>
            </w:r>
          </w:p>
        </w:tc>
      </w:tr>
      <w:tr>
        <w:trPr>
          <w:gridAfter w:val="1"/>
          <w:wAfter w:w="19" w:type="dxa"/>
          <w:trHeight w:val="410" w:hRule="atLeast"/>
          <w:jc w:val="center"/>
        </w:trPr>
        <w:tc>
          <w:tcPr>
            <w:tcW w:w="200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健康细胞建设情况。</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第十六条，</w:t>
            </w:r>
            <w:r>
              <w:rPr>
                <w:rFonts w:hint="eastAsia" w:ascii="宋体" w:hAnsi="宋体" w:eastAsia="宋体" w:cs="宋体"/>
                <w:color w:val="000000"/>
                <w:kern w:val="0"/>
                <w:sz w:val="20"/>
                <w:szCs w:val="20"/>
                <w:highlight w:val="none"/>
                <w:lang w:val="en-US" w:eastAsia="zh-CN"/>
              </w:rPr>
              <w:t>39</w:t>
            </w:r>
          </w:p>
        </w:tc>
      </w:tr>
      <w:tr>
        <w:trPr>
          <w:gridAfter w:val="1"/>
          <w:wAfter w:w="19" w:type="dxa"/>
          <w:trHeight w:val="733" w:hRule="atLeast"/>
          <w:jc w:val="center"/>
        </w:trPr>
        <w:tc>
          <w:tcPr>
            <w:tcW w:w="200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卫生健康行政部门印发关于将健康教育纳入医疗卫生机构绩效考核的文件；被抽查的县级医院或乡镇卫生院有相关落实制度。</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第二十五条，</w:t>
            </w:r>
            <w:r>
              <w:rPr>
                <w:rFonts w:hint="eastAsia" w:ascii="宋体" w:hAnsi="宋体" w:eastAsia="宋体" w:cs="宋体"/>
                <w:color w:val="000000"/>
                <w:kern w:val="0"/>
                <w:sz w:val="20"/>
                <w:szCs w:val="20"/>
                <w:highlight w:val="none"/>
                <w:lang w:val="en-US" w:eastAsia="zh-CN"/>
              </w:rPr>
              <w:t>66</w:t>
            </w:r>
          </w:p>
        </w:tc>
      </w:tr>
      <w:tr>
        <w:trPr>
          <w:gridAfter w:val="1"/>
          <w:wAfter w:w="19" w:type="dxa"/>
          <w:trHeight w:val="432" w:hRule="atLeast"/>
          <w:jc w:val="center"/>
        </w:trPr>
        <w:tc>
          <w:tcPr>
            <w:tcW w:w="200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有患者健康教育工作流程；在诊疗中使用健康教育处方。</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第二十五条，</w:t>
            </w:r>
            <w:r>
              <w:rPr>
                <w:rFonts w:hint="eastAsia" w:ascii="宋体" w:hAnsi="宋体" w:eastAsia="宋体" w:cs="宋体"/>
                <w:color w:val="000000"/>
                <w:kern w:val="0"/>
                <w:sz w:val="20"/>
                <w:szCs w:val="20"/>
                <w:highlight w:val="none"/>
                <w:lang w:val="en-US" w:eastAsia="zh-CN"/>
              </w:rPr>
              <w:t>67</w:t>
            </w:r>
          </w:p>
        </w:tc>
      </w:tr>
      <w:tr>
        <w:trPr>
          <w:gridAfter w:val="1"/>
          <w:wAfter w:w="19" w:type="dxa"/>
          <w:trHeight w:val="1099" w:hRule="atLeast"/>
          <w:jc w:val="center"/>
        </w:trPr>
        <w:tc>
          <w:tcPr>
            <w:tcW w:w="200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sz w:val="20"/>
                <w:szCs w:val="20"/>
                <w:highlight w:val="none"/>
              </w:rPr>
              <w:t>具备醒目的禁烟标识；</w:t>
            </w:r>
            <w:r>
              <w:rPr>
                <w:rFonts w:hint="eastAsia" w:ascii="宋体" w:hAnsi="宋体" w:eastAsia="宋体" w:cs="宋体"/>
                <w:color w:val="000000"/>
                <w:kern w:val="0"/>
                <w:sz w:val="20"/>
                <w:szCs w:val="20"/>
                <w:highlight w:val="none"/>
              </w:rPr>
              <w:t>在非吸烟区（无吸烟区的单位，视为场所范围均为非吸烟区）未发现吸烟现象或烟蒂</w:t>
            </w:r>
            <w:r>
              <w:rPr>
                <w:rFonts w:hint="eastAsia" w:ascii="宋体" w:hAnsi="宋体" w:eastAsia="宋体" w:cs="宋体"/>
                <w:sz w:val="20"/>
                <w:szCs w:val="20"/>
                <w:highlight w:val="none"/>
              </w:rPr>
              <w:t>。如果吸烟区设置不规范或缺乏醒目的引导标识，扣0.5分。</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第三十一条，8</w:t>
            </w:r>
            <w:r>
              <w:rPr>
                <w:rFonts w:hint="eastAsia" w:ascii="宋体" w:hAnsi="宋体" w:eastAsia="宋体" w:cs="宋体"/>
                <w:color w:val="000000"/>
                <w:kern w:val="0"/>
                <w:sz w:val="20"/>
                <w:szCs w:val="20"/>
                <w:highlight w:val="none"/>
                <w:lang w:val="en-US" w:eastAsia="zh-CN"/>
              </w:rPr>
              <w:t>1</w:t>
            </w:r>
          </w:p>
        </w:tc>
      </w:tr>
      <w:tr>
        <w:trPr>
          <w:gridAfter w:val="1"/>
          <w:wAfter w:w="19" w:type="dxa"/>
          <w:trHeight w:val="744" w:hRule="atLeast"/>
          <w:jc w:val="center"/>
        </w:trPr>
        <w:tc>
          <w:tcPr>
            <w:tcW w:w="2004" w:type="dxa"/>
            <w:vMerge w:val="restart"/>
            <w:tcBorders>
              <w:top w:val="nil"/>
              <w:left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1家社区卫生服务中心和1家乡镇卫生院</w:t>
            </w:r>
          </w:p>
        </w:tc>
        <w:tc>
          <w:tcPr>
            <w:tcW w:w="6785"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被抽查社区卫生服务中心和乡镇卫生院能够按照基本公共卫生服务规范实施健康教育项目。</w:t>
            </w:r>
          </w:p>
        </w:tc>
        <w:tc>
          <w:tcPr>
            <w:tcW w:w="178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第二十四条，6</w:t>
            </w:r>
            <w:r>
              <w:rPr>
                <w:rFonts w:hint="eastAsia" w:ascii="宋体" w:hAnsi="宋体" w:eastAsia="宋体" w:cs="宋体"/>
                <w:color w:val="000000"/>
                <w:kern w:val="0"/>
                <w:sz w:val="20"/>
                <w:szCs w:val="20"/>
                <w:highlight w:val="none"/>
                <w:lang w:val="en-US" w:eastAsia="zh-CN"/>
              </w:rPr>
              <w:t>3</w:t>
            </w:r>
          </w:p>
        </w:tc>
      </w:tr>
      <w:tr>
        <w:trPr>
          <w:gridAfter w:val="1"/>
          <w:wAfter w:w="19" w:type="dxa"/>
          <w:trHeight w:val="475" w:hRule="atLeast"/>
          <w:jc w:val="center"/>
        </w:trPr>
        <w:tc>
          <w:tcPr>
            <w:tcW w:w="2004"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p>
        </w:tc>
        <w:tc>
          <w:tcPr>
            <w:tcW w:w="6785"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家庭医生中医药服务开展及中医治未病服务提供情况。</w:t>
            </w:r>
          </w:p>
        </w:tc>
        <w:tc>
          <w:tcPr>
            <w:tcW w:w="1780"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第二十六条，7</w:t>
            </w:r>
            <w:r>
              <w:rPr>
                <w:rFonts w:hint="eastAsia" w:ascii="宋体" w:hAnsi="宋体" w:eastAsia="宋体" w:cs="宋体"/>
                <w:color w:val="000000"/>
                <w:kern w:val="0"/>
                <w:sz w:val="20"/>
                <w:szCs w:val="20"/>
                <w:highlight w:val="none"/>
                <w:lang w:val="en-US" w:eastAsia="zh-CN"/>
              </w:rPr>
              <w:t>1</w:t>
            </w:r>
          </w:p>
        </w:tc>
      </w:tr>
      <w:tr>
        <w:trPr>
          <w:gridAfter w:val="1"/>
          <w:wAfter w:w="19" w:type="dxa"/>
          <w:trHeight w:val="842" w:hRule="atLeast"/>
          <w:jc w:val="center"/>
        </w:trPr>
        <w:tc>
          <w:tcPr>
            <w:tcW w:w="2004"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1家社区卫生服务中心或1家乡镇卫生院</w:t>
            </w:r>
          </w:p>
        </w:tc>
        <w:tc>
          <w:tcPr>
            <w:tcW w:w="6785"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sz w:val="20"/>
                <w:szCs w:val="20"/>
                <w:highlight w:val="none"/>
              </w:rPr>
              <w:t>查阅家庭医生签约服务开展、质量控制等情况。</w:t>
            </w:r>
          </w:p>
        </w:tc>
        <w:tc>
          <w:tcPr>
            <w:tcW w:w="1780" w:type="dxa"/>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第二十二条，5</w:t>
            </w:r>
            <w:r>
              <w:rPr>
                <w:rFonts w:hint="eastAsia" w:ascii="宋体" w:hAnsi="宋体" w:eastAsia="宋体" w:cs="宋体"/>
                <w:color w:val="000000"/>
                <w:kern w:val="0"/>
                <w:sz w:val="20"/>
                <w:szCs w:val="20"/>
                <w:highlight w:val="none"/>
                <w:lang w:val="en-US" w:eastAsia="zh-CN"/>
              </w:rPr>
              <w:t>5</w:t>
            </w:r>
          </w:p>
        </w:tc>
      </w:tr>
    </w:tbl>
    <w:p>
      <w:pPr>
        <w:widowControl/>
        <w:jc w:val="left"/>
        <w:rPr>
          <w:rFonts w:ascii="宋体" w:hAnsi="宋体" w:eastAsia="宋体" w:cs="Times New Roman"/>
          <w:b/>
          <w:szCs w:val="21"/>
        </w:rPr>
      </w:pPr>
      <w:r>
        <w:rPr>
          <w:rFonts w:ascii="宋体" w:hAnsi="宋体" w:eastAsia="宋体" w:cs="Times New Roman"/>
          <w:b/>
          <w:szCs w:val="21"/>
        </w:rPr>
        <w:br w:type="page"/>
      </w:r>
    </w:p>
    <w:tbl>
      <w:tblPr>
        <w:tblStyle w:val="5"/>
        <w:tblW w:w="10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6683"/>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noWrap w:val="0"/>
            <w:vAlign w:val="center"/>
          </w:tcPr>
          <w:p>
            <w:pPr>
              <w:widowControl/>
              <w:jc w:val="center"/>
              <w:rPr>
                <w:rFonts w:ascii="黑体" w:hAnsi="黑体" w:eastAsia="黑体" w:cs="宋体"/>
                <w:b w:val="0"/>
                <w:bCs w:val="0"/>
                <w:color w:val="000000"/>
                <w:kern w:val="0"/>
                <w:sz w:val="20"/>
                <w:szCs w:val="20"/>
                <w:highlight w:val="none"/>
              </w:rPr>
            </w:pPr>
            <w:r>
              <w:rPr>
                <w:rFonts w:hint="eastAsia" w:ascii="黑体" w:hAnsi="黑体" w:eastAsia="黑体" w:cs="宋体"/>
                <w:b w:val="0"/>
                <w:bCs w:val="0"/>
                <w:color w:val="000000"/>
                <w:kern w:val="0"/>
                <w:sz w:val="20"/>
                <w:szCs w:val="20"/>
                <w:highlight w:val="none"/>
              </w:rPr>
              <w:t>抽查单位</w:t>
            </w:r>
          </w:p>
        </w:tc>
        <w:tc>
          <w:tcPr>
            <w:tcW w:w="6683" w:type="dxa"/>
            <w:noWrap w:val="0"/>
            <w:vAlign w:val="center"/>
          </w:tcPr>
          <w:p>
            <w:pPr>
              <w:widowControl/>
              <w:jc w:val="center"/>
              <w:rPr>
                <w:rFonts w:ascii="黑体" w:hAnsi="黑体" w:eastAsia="黑体" w:cs="宋体"/>
                <w:b w:val="0"/>
                <w:bCs w:val="0"/>
                <w:color w:val="000000"/>
                <w:kern w:val="0"/>
                <w:sz w:val="20"/>
                <w:szCs w:val="20"/>
                <w:highlight w:val="none"/>
              </w:rPr>
            </w:pPr>
            <w:r>
              <w:rPr>
                <w:rFonts w:hint="eastAsia" w:ascii="黑体" w:hAnsi="黑体" w:eastAsia="黑体" w:cs="宋体"/>
                <w:b w:val="0"/>
                <w:bCs w:val="0"/>
                <w:color w:val="000000"/>
                <w:kern w:val="0"/>
                <w:sz w:val="20"/>
                <w:szCs w:val="20"/>
                <w:highlight w:val="none"/>
              </w:rPr>
              <w:t>现场查看内容</w:t>
            </w:r>
          </w:p>
        </w:tc>
        <w:tc>
          <w:tcPr>
            <w:tcW w:w="1783" w:type="dxa"/>
            <w:noWrap/>
            <w:vAlign w:val="center"/>
          </w:tcPr>
          <w:p>
            <w:pPr>
              <w:widowControl/>
              <w:jc w:val="center"/>
              <w:rPr>
                <w:rFonts w:ascii="黑体" w:hAnsi="黑体" w:eastAsia="黑体" w:cs="宋体"/>
                <w:b w:val="0"/>
                <w:bCs w:val="0"/>
                <w:color w:val="000000"/>
                <w:kern w:val="0"/>
                <w:sz w:val="20"/>
                <w:szCs w:val="20"/>
                <w:highlight w:val="none"/>
              </w:rPr>
            </w:pPr>
            <w:r>
              <w:rPr>
                <w:rFonts w:hint="eastAsia" w:ascii="黑体" w:hAnsi="黑体" w:eastAsia="黑体" w:cs="宋体"/>
                <w:b w:val="0"/>
                <w:bCs w:val="0"/>
                <w:color w:val="000000"/>
                <w:kern w:val="0"/>
                <w:sz w:val="20"/>
                <w:szCs w:val="20"/>
                <w:highlight w:val="none"/>
              </w:rPr>
              <w:t>所属条目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restart"/>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1个小学和1个中学</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健康细胞建设情况。</w:t>
            </w:r>
          </w:p>
        </w:tc>
        <w:tc>
          <w:tcPr>
            <w:tcW w:w="1783" w:type="dxa"/>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第十六条，</w:t>
            </w:r>
            <w:r>
              <w:rPr>
                <w:rFonts w:hint="eastAsia" w:ascii="宋体" w:hAnsi="宋体" w:eastAsia="宋体" w:cs="宋体"/>
                <w:color w:val="000000"/>
                <w:kern w:val="0"/>
                <w:sz w:val="20"/>
                <w:szCs w:val="20"/>
                <w:highlight w:val="none"/>
                <w:lang w:val="en-US" w:eastAsia="zh-CN"/>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健康教育纳入课程计划、有专兼职健康教育师资、有健康教育教学材料、体现有健康教育的学科渗透、落实每学期4课时健康教育、开展学生健康教育课考试或测评。</w:t>
            </w:r>
          </w:p>
        </w:tc>
        <w:tc>
          <w:tcPr>
            <w:tcW w:w="1783" w:type="dxa"/>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第二十九条，</w:t>
            </w:r>
            <w:r>
              <w:rPr>
                <w:rFonts w:hint="eastAsia" w:ascii="宋体" w:hAnsi="宋体" w:eastAsia="宋体" w:cs="宋体"/>
                <w:color w:val="000000"/>
                <w:kern w:val="0"/>
                <w:sz w:val="20"/>
                <w:szCs w:val="20"/>
                <w:highlight w:val="none"/>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每学期健康教育活动≥4次、学生社团、志愿者开展卫生健康知识宣传教育、</w:t>
            </w:r>
            <w:r>
              <w:rPr>
                <w:rFonts w:hint="eastAsia" w:ascii="宋体" w:hAnsi="宋体" w:eastAsia="宋体" w:cs="宋体"/>
                <w:szCs w:val="21"/>
                <w:highlight w:val="none"/>
              </w:rPr>
              <w:t>利用网络或新媒体开展健康教育</w:t>
            </w:r>
            <w:r>
              <w:rPr>
                <w:rFonts w:hint="eastAsia" w:ascii="宋体" w:hAnsi="宋体" w:eastAsia="宋体" w:cs="宋体"/>
                <w:color w:val="000000"/>
                <w:kern w:val="0"/>
                <w:sz w:val="20"/>
                <w:szCs w:val="20"/>
                <w:highlight w:val="none"/>
              </w:rPr>
              <w:t>。</w:t>
            </w:r>
          </w:p>
        </w:tc>
        <w:tc>
          <w:tcPr>
            <w:tcW w:w="1783" w:type="dxa"/>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第二十九条，</w:t>
            </w:r>
            <w:r>
              <w:rPr>
                <w:rFonts w:hint="eastAsia" w:ascii="宋体" w:hAnsi="宋体" w:eastAsia="宋体" w:cs="宋体"/>
                <w:color w:val="000000"/>
                <w:kern w:val="0"/>
                <w:sz w:val="20"/>
                <w:szCs w:val="20"/>
                <w:highlight w:val="none"/>
                <w:lang w:val="en-US" w:eastAsia="zh-CN"/>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近3年内，近视发生率逐年下降、肥胖发生率逐年下降、学生体质健康达标优良率逐年上升。</w:t>
            </w:r>
          </w:p>
        </w:tc>
        <w:tc>
          <w:tcPr>
            <w:tcW w:w="1783" w:type="dxa"/>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第二十九条，</w:t>
            </w:r>
            <w:r>
              <w:rPr>
                <w:rFonts w:hint="eastAsia" w:ascii="宋体" w:hAnsi="宋体" w:eastAsia="宋体" w:cs="宋体"/>
                <w:color w:val="000000"/>
                <w:kern w:val="0"/>
                <w:sz w:val="20"/>
                <w:szCs w:val="20"/>
                <w:highlight w:val="none"/>
                <w:lang w:val="en-US" w:eastAsia="zh-CN"/>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val="0"/>
              <w:autoSpaceDE w:val="0"/>
              <w:autoSpaceDN w:val="0"/>
              <w:adjustRightInd w:val="0"/>
              <w:rPr>
                <w:rFonts w:hint="eastAsia" w:ascii="宋体" w:hAnsi="宋体" w:eastAsia="宋体" w:cs="宋体"/>
                <w:color w:val="000000"/>
                <w:sz w:val="20"/>
                <w:szCs w:val="20"/>
                <w:highlight w:val="none"/>
                <w:lang w:val="en-US" w:eastAsia="zh-CN" w:bidi="ar-SA"/>
              </w:rPr>
            </w:pPr>
            <w:r>
              <w:rPr>
                <w:rFonts w:hint="eastAsia" w:ascii="宋体" w:hAnsi="宋体" w:eastAsia="宋体" w:cs="宋体"/>
                <w:color w:val="000000"/>
                <w:sz w:val="20"/>
                <w:szCs w:val="20"/>
                <w:highlight w:val="none"/>
                <w:lang w:val="en-US" w:eastAsia="zh-CN" w:bidi="ar-SA"/>
              </w:rPr>
              <w:t>具备醒目的禁烟标识;在非吸烟区（无吸烟区的单位，视为场所范围均为非吸烟区）未发现吸烟现象或烟蒂。如果吸烟区设置不规范或缺乏醒目的引导标识，扣0.5分。</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第三十一条，8</w:t>
            </w:r>
            <w:r>
              <w:rPr>
                <w:rFonts w:hint="eastAsia" w:ascii="宋体" w:hAnsi="宋体" w:eastAsia="宋体" w:cs="宋体"/>
                <w:color w:val="000000"/>
                <w:kern w:val="0"/>
                <w:sz w:val="20"/>
                <w:szCs w:val="20"/>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观察周边100米是否有烟草/电子烟零售点。</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第三十一条，8</w:t>
            </w:r>
            <w:r>
              <w:rPr>
                <w:rFonts w:hint="eastAsia" w:ascii="宋体" w:hAnsi="宋体" w:eastAsia="宋体" w:cs="宋体"/>
                <w:color w:val="000000"/>
                <w:kern w:val="0"/>
                <w:sz w:val="20"/>
                <w:szCs w:val="20"/>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restart"/>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2家党政机关</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健康细胞建设情况。</w:t>
            </w:r>
          </w:p>
        </w:tc>
        <w:tc>
          <w:tcPr>
            <w:tcW w:w="1783" w:type="dxa"/>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第十六条，</w:t>
            </w:r>
            <w:r>
              <w:rPr>
                <w:rFonts w:hint="eastAsia" w:ascii="宋体" w:hAnsi="宋体" w:eastAsia="宋体" w:cs="宋体"/>
                <w:color w:val="000000"/>
                <w:kern w:val="0"/>
                <w:sz w:val="20"/>
                <w:szCs w:val="20"/>
                <w:highlight w:val="none"/>
                <w:lang w:val="en-US" w:eastAsia="zh-CN"/>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sz w:val="20"/>
                <w:szCs w:val="20"/>
                <w:highlight w:val="none"/>
              </w:rPr>
              <w:t xml:space="preserve">具备醒目的禁烟标识; </w:t>
            </w:r>
            <w:r>
              <w:rPr>
                <w:rFonts w:hint="eastAsia" w:ascii="宋体" w:hAnsi="宋体" w:eastAsia="宋体" w:cs="宋体"/>
                <w:color w:val="000000"/>
                <w:kern w:val="0"/>
                <w:sz w:val="20"/>
                <w:szCs w:val="20"/>
                <w:highlight w:val="none"/>
              </w:rPr>
              <w:t>在非吸烟区（无吸烟区的单位，视为场所范围均为非吸烟区）未发现吸烟现象或烟蒂</w:t>
            </w:r>
            <w:r>
              <w:rPr>
                <w:rFonts w:hint="eastAsia" w:ascii="宋体" w:hAnsi="宋体" w:eastAsia="宋体" w:cs="宋体"/>
                <w:sz w:val="20"/>
                <w:szCs w:val="20"/>
                <w:highlight w:val="none"/>
              </w:rPr>
              <w:t>。如果吸烟区设置不规范或缺乏醒目的引导标识，扣0.5分。</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第三十一条，8</w:t>
            </w:r>
            <w:r>
              <w:rPr>
                <w:rFonts w:hint="eastAsia" w:ascii="宋体" w:hAnsi="宋体" w:eastAsia="宋体" w:cs="宋体"/>
                <w:color w:val="000000"/>
                <w:kern w:val="0"/>
                <w:sz w:val="20"/>
                <w:szCs w:val="20"/>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restart"/>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Cs w:val="21"/>
                <w:highlight w:val="none"/>
              </w:rPr>
              <w:t>＞</w:t>
            </w:r>
            <w:r>
              <w:rPr>
                <w:rFonts w:hint="eastAsia" w:ascii="宋体" w:hAnsi="宋体" w:eastAsia="宋体" w:cs="宋体"/>
                <w:color w:val="000000"/>
                <w:kern w:val="0"/>
                <w:sz w:val="20"/>
                <w:szCs w:val="20"/>
                <w:highlight w:val="none"/>
              </w:rPr>
              <w:t>500平米的1家餐馆</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根据抽查单位相关检测报告进行评分：安装油烟净化装置、排烟口设置合理、操作期间正常运行、排放浓度达标。</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第十五条，3</w:t>
            </w:r>
            <w:r>
              <w:rPr>
                <w:rFonts w:hint="eastAsia" w:ascii="宋体" w:hAnsi="宋体" w:eastAsia="宋体" w:cs="宋体"/>
                <w:color w:val="000000"/>
                <w:kern w:val="0"/>
                <w:sz w:val="20"/>
                <w:szCs w:val="20"/>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实施明厨亮灶设施、展示位置符合规定要求。</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第十五条，3</w:t>
            </w:r>
            <w:r>
              <w:rPr>
                <w:rFonts w:hint="eastAsia" w:ascii="宋体" w:hAnsi="宋体" w:eastAsia="宋体" w:cs="宋体"/>
                <w:color w:val="000000"/>
                <w:kern w:val="0"/>
                <w:sz w:val="20"/>
                <w:szCs w:val="20"/>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食品采购符合要求、食品贮存符合要求、食品加工制作符合要求。</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第十五条，3</w:t>
            </w:r>
            <w:r>
              <w:rPr>
                <w:rFonts w:hint="eastAsia" w:ascii="宋体" w:hAnsi="宋体" w:eastAsia="宋体" w:cs="宋体"/>
                <w:color w:val="000000"/>
                <w:kern w:val="0"/>
                <w:sz w:val="20"/>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查看公勺公筷和光盘行动倡导宣传情况</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第三十二条，8</w:t>
            </w:r>
            <w:r>
              <w:rPr>
                <w:rFonts w:hint="eastAsia" w:ascii="宋体" w:hAnsi="宋体" w:eastAsia="宋体" w:cs="宋体"/>
                <w:color w:val="000000"/>
                <w:kern w:val="0"/>
                <w:sz w:val="20"/>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restart"/>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1家单位食堂</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根据抽查单位相关检测报告进行评分：安装油烟净化装置、排烟口设置合理、操作期间正常运行、排放浓度达标。</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第十五条，3</w:t>
            </w:r>
            <w:r>
              <w:rPr>
                <w:rFonts w:hint="eastAsia" w:ascii="宋体" w:hAnsi="宋体" w:eastAsia="宋体" w:cs="宋体"/>
                <w:color w:val="000000"/>
                <w:kern w:val="0"/>
                <w:sz w:val="20"/>
                <w:szCs w:val="20"/>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实施明厨亮灶设施、展示位置符合规定要求。</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第十五条，3</w:t>
            </w:r>
            <w:r>
              <w:rPr>
                <w:rFonts w:hint="eastAsia" w:ascii="宋体" w:hAnsi="宋体" w:eastAsia="宋体" w:cs="宋体"/>
                <w:color w:val="000000"/>
                <w:kern w:val="0"/>
                <w:sz w:val="20"/>
                <w:szCs w:val="20"/>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食品采购符合要求、食品贮存符合要求、食品加工制作符合要求。</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第十五条，3</w:t>
            </w:r>
            <w:r>
              <w:rPr>
                <w:rFonts w:hint="eastAsia" w:ascii="宋体" w:hAnsi="宋体" w:eastAsia="宋体" w:cs="宋体"/>
                <w:color w:val="000000"/>
                <w:kern w:val="0"/>
                <w:sz w:val="20"/>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2家企业</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抽取2家中等及以上规模企业，查看其健康细胞建设情况。</w:t>
            </w:r>
          </w:p>
        </w:tc>
        <w:tc>
          <w:tcPr>
            <w:tcW w:w="1783" w:type="dxa"/>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第十六条，</w:t>
            </w:r>
            <w:r>
              <w:rPr>
                <w:rFonts w:hint="eastAsia" w:ascii="宋体" w:hAnsi="宋体" w:eastAsia="宋体" w:cs="宋体"/>
                <w:color w:val="000000"/>
                <w:kern w:val="0"/>
                <w:sz w:val="20"/>
                <w:szCs w:val="20"/>
                <w:highlight w:val="none"/>
                <w:lang w:val="en-US" w:eastAsia="zh-CN"/>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0"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抽取2处独立式公共厕所和2处附属式公共厕所（从1家娱乐场所和1个当地规模较大的商场、超市或菜市场中，各抽取1处附属式公共厕所）</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免费开放、厕所标识醒目、洗手设施完好、无蚊蝇、基本无臭味。</w:t>
            </w:r>
          </w:p>
        </w:tc>
        <w:tc>
          <w:tcPr>
            <w:tcW w:w="1783" w:type="dxa"/>
            <w:noWrap w:val="0"/>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第十四条，2</w:t>
            </w:r>
            <w:r>
              <w:rPr>
                <w:rFonts w:hint="eastAsia" w:ascii="宋体" w:hAnsi="宋体" w:eastAsia="宋体" w:cs="宋体"/>
                <w:color w:val="000000"/>
                <w:kern w:val="0"/>
                <w:sz w:val="20"/>
                <w:szCs w:val="20"/>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atLeast"/>
          <w:jc w:val="center"/>
        </w:trPr>
        <w:tc>
          <w:tcPr>
            <w:tcW w:w="2122" w:type="dxa"/>
            <w:vMerge w:val="restart"/>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1家娱乐场所</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1处附属式公共厕所：免费开放、厕所标识醒目、洗手设施完好、无蚊蝇、基本无臭味。</w:t>
            </w:r>
          </w:p>
        </w:tc>
        <w:tc>
          <w:tcPr>
            <w:tcW w:w="17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第十四条，2</w:t>
            </w:r>
            <w:r>
              <w:rPr>
                <w:rFonts w:hint="eastAsia" w:ascii="宋体" w:hAnsi="宋体" w:eastAsia="宋体" w:cs="宋体"/>
                <w:color w:val="000000"/>
                <w:kern w:val="0"/>
                <w:sz w:val="20"/>
                <w:szCs w:val="20"/>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4" w:hRule="atLeast"/>
          <w:jc w:val="center"/>
        </w:trPr>
        <w:tc>
          <w:tcPr>
            <w:tcW w:w="2122" w:type="dxa"/>
            <w:vMerge w:val="continue"/>
            <w:noWrap w:val="0"/>
            <w:vAlign w:val="center"/>
          </w:tcPr>
          <w:p>
            <w:pPr>
              <w:widowControl/>
              <w:jc w:val="left"/>
              <w:rPr>
                <w:rFonts w:hint="eastAsia" w:ascii="宋体" w:hAnsi="宋体" w:eastAsia="宋体" w:cs="宋体"/>
                <w:color w:val="000000"/>
                <w:kern w:val="0"/>
                <w:sz w:val="20"/>
                <w:szCs w:val="20"/>
                <w:highlight w:val="none"/>
              </w:rPr>
            </w:pP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消防设施齐全、完好（火灾自动报警系统、自动灭火系统、消火栓系统、防烟排烟系统以及应急广播和应急照明、安全疏散设施等），消防车通道通畅。</w:t>
            </w:r>
          </w:p>
        </w:tc>
        <w:tc>
          <w:tcPr>
            <w:tcW w:w="17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第二十条，52</w:t>
            </w:r>
          </w:p>
        </w:tc>
      </w:tr>
    </w:tbl>
    <w:p>
      <w:pPr>
        <w:rPr>
          <w:rFonts w:ascii="宋体" w:hAnsi="宋体" w:eastAsia="宋体" w:cs="Times New Roman"/>
          <w:b/>
          <w:szCs w:val="21"/>
        </w:rPr>
      </w:pPr>
    </w:p>
    <w:tbl>
      <w:tblPr>
        <w:tblStyle w:val="5"/>
        <w:tblW w:w="10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6683"/>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jc w:val="center"/>
        </w:trPr>
        <w:tc>
          <w:tcPr>
            <w:tcW w:w="212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黑体" w:eastAsia="黑体" w:cs="宋体"/>
                <w:b w:val="0"/>
                <w:bCs w:val="0"/>
                <w:color w:val="000000"/>
                <w:kern w:val="0"/>
                <w:sz w:val="20"/>
                <w:szCs w:val="20"/>
                <w:highlight w:val="none"/>
              </w:rPr>
            </w:pPr>
            <w:r>
              <w:rPr>
                <w:rFonts w:hint="eastAsia" w:ascii="黑体" w:hAnsi="黑体" w:eastAsia="黑体" w:cs="宋体"/>
                <w:b w:val="0"/>
                <w:bCs w:val="0"/>
                <w:color w:val="000000"/>
                <w:kern w:val="0"/>
                <w:sz w:val="20"/>
                <w:szCs w:val="20"/>
                <w:highlight w:val="none"/>
              </w:rPr>
              <w:t>抽查单位</w:t>
            </w:r>
          </w:p>
        </w:tc>
        <w:tc>
          <w:tcPr>
            <w:tcW w:w="668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黑体" w:eastAsia="黑体" w:cs="宋体"/>
                <w:b w:val="0"/>
                <w:bCs w:val="0"/>
                <w:color w:val="000000"/>
                <w:kern w:val="0"/>
                <w:sz w:val="20"/>
                <w:szCs w:val="20"/>
                <w:highlight w:val="none"/>
              </w:rPr>
            </w:pPr>
            <w:r>
              <w:rPr>
                <w:rFonts w:hint="eastAsia" w:ascii="黑体" w:hAnsi="黑体" w:eastAsia="黑体" w:cs="宋体"/>
                <w:b w:val="0"/>
                <w:bCs w:val="0"/>
                <w:color w:val="000000"/>
                <w:kern w:val="0"/>
                <w:sz w:val="20"/>
                <w:szCs w:val="20"/>
                <w:highlight w:val="none"/>
              </w:rPr>
              <w:t>现场查看内容</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黑体" w:eastAsia="黑体" w:cs="宋体"/>
                <w:b w:val="0"/>
                <w:bCs w:val="0"/>
                <w:color w:val="000000"/>
                <w:kern w:val="0"/>
                <w:sz w:val="20"/>
                <w:szCs w:val="20"/>
                <w:highlight w:val="none"/>
              </w:rPr>
            </w:pPr>
            <w:r>
              <w:rPr>
                <w:rFonts w:hint="eastAsia" w:ascii="黑体" w:hAnsi="黑体" w:eastAsia="黑体" w:cs="宋体"/>
                <w:b w:val="0"/>
                <w:bCs w:val="0"/>
                <w:color w:val="000000"/>
                <w:kern w:val="0"/>
                <w:sz w:val="20"/>
                <w:szCs w:val="20"/>
                <w:highlight w:val="none"/>
              </w:rPr>
              <w:t>所属条目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6"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1个当地规模较大的商场</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sz w:val="20"/>
                <w:szCs w:val="20"/>
                <w:highlight w:val="none"/>
              </w:rPr>
              <w:t>至少建有盲道、无障碍卫生间（厕位）、出入口无障碍设施、低位服务设施、无障碍停车位、无障碍标志这6种无障碍设施的3种及以上。</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第十条，1</w:t>
            </w:r>
            <w:r>
              <w:rPr>
                <w:rFonts w:hint="eastAsia" w:ascii="宋体" w:hAnsi="宋体" w:eastAsia="宋体" w:cs="宋体"/>
                <w:color w:val="000000"/>
                <w:kern w:val="0"/>
                <w:sz w:val="20"/>
                <w:szCs w:val="20"/>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jc w:val="center"/>
        </w:trPr>
        <w:tc>
          <w:tcPr>
            <w:tcW w:w="2122" w:type="dxa"/>
            <w:tcBorders>
              <w:left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1个当地规模较大的商场、超市或菜市场</w:t>
            </w:r>
          </w:p>
        </w:tc>
        <w:tc>
          <w:tcPr>
            <w:tcW w:w="6683" w:type="dxa"/>
            <w:tcBorders>
              <w:lef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1处附属式公共厕所：免费开放、厕所标识醒目、洗手设施完好、无蚊蝇、基本无臭味。</w:t>
            </w:r>
          </w:p>
        </w:tc>
        <w:tc>
          <w:tcPr>
            <w:tcW w:w="1783" w:type="dxa"/>
            <w:noWrap w:val="0"/>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第十四条，2</w:t>
            </w:r>
            <w:r>
              <w:rPr>
                <w:rFonts w:hint="eastAsia" w:ascii="宋体" w:hAnsi="宋体" w:eastAsia="宋体" w:cs="宋体"/>
                <w:color w:val="000000"/>
                <w:kern w:val="0"/>
                <w:sz w:val="20"/>
                <w:szCs w:val="20"/>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1个公园</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健康主题公园建设和管理情况。</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第十条，1</w:t>
            </w:r>
            <w:r>
              <w:rPr>
                <w:rFonts w:hint="eastAsia" w:ascii="宋体" w:hAnsi="宋体" w:eastAsia="宋体" w:cs="宋体"/>
                <w:color w:val="000000"/>
                <w:kern w:val="0"/>
                <w:sz w:val="20"/>
                <w:szCs w:val="20"/>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1个健康步道</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健康步道建设和管理情况。</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第十条，1</w:t>
            </w:r>
            <w:r>
              <w:rPr>
                <w:rFonts w:hint="eastAsia" w:ascii="宋体" w:hAnsi="宋体" w:eastAsia="宋体" w:cs="宋体"/>
                <w:color w:val="000000"/>
                <w:kern w:val="0"/>
                <w:sz w:val="20"/>
                <w:szCs w:val="20"/>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1个绿道</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绿道建设和管理情况。</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第十条，1</w:t>
            </w:r>
            <w:r>
              <w:rPr>
                <w:rFonts w:hint="eastAsia" w:ascii="宋体" w:hAnsi="宋体" w:eastAsia="宋体" w:cs="宋体"/>
                <w:color w:val="000000"/>
                <w:kern w:val="0"/>
                <w:sz w:val="20"/>
                <w:szCs w:val="20"/>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1家污水处理厂</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被抽查污水处理厂是否达标运行。</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第十三条，2</w:t>
            </w:r>
            <w:r>
              <w:rPr>
                <w:rFonts w:hint="eastAsia" w:ascii="宋体" w:hAnsi="宋体" w:eastAsia="宋体" w:cs="宋体"/>
                <w:color w:val="000000"/>
                <w:kern w:val="0"/>
                <w:sz w:val="20"/>
                <w:szCs w:val="20"/>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1处铁路沿线（无铁路的县区可抽查1处当地主要公路沿线）</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无垃圾乱堆、露天焚烧垃圾或违规填埋现象。</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第十三条，2</w:t>
            </w:r>
            <w:r>
              <w:rPr>
                <w:rFonts w:hint="eastAsia" w:ascii="宋体" w:hAnsi="宋体" w:eastAsia="宋体" w:cs="宋体"/>
                <w:color w:val="000000"/>
                <w:kern w:val="0"/>
                <w:sz w:val="20"/>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1处农贸市场、或集市、或宠物市场</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查看有无贩卖、制售、食用野生动物情况。</w:t>
            </w:r>
          </w:p>
        </w:tc>
        <w:tc>
          <w:tcPr>
            <w:tcW w:w="1783" w:type="dxa"/>
            <w:noWrap/>
            <w:vAlign w:val="center"/>
          </w:tcPr>
          <w:p>
            <w:pPr>
              <w:widowControl/>
              <w:jc w:val="left"/>
              <w:rPr>
                <w:rFonts w:hint="eastAsia" w:ascii="宋体" w:hAnsi="宋体" w:eastAsia="宋体" w:cs="宋体"/>
                <w:color w:val="000000"/>
                <w:kern w:val="0"/>
                <w:sz w:val="20"/>
                <w:szCs w:val="20"/>
                <w:highlight w:val="none"/>
                <w:lang w:eastAsia="zh-CN"/>
              </w:rPr>
            </w:pPr>
            <w:r>
              <w:rPr>
                <w:rFonts w:hint="eastAsia" w:ascii="宋体" w:hAnsi="宋体" w:eastAsia="宋体" w:cs="宋体"/>
                <w:color w:val="000000"/>
                <w:kern w:val="0"/>
                <w:sz w:val="20"/>
                <w:szCs w:val="20"/>
                <w:highlight w:val="none"/>
              </w:rPr>
              <w:t>第十四条，3</w:t>
            </w:r>
            <w:r>
              <w:rPr>
                <w:rFonts w:hint="eastAsia" w:ascii="宋体" w:hAnsi="宋体" w:eastAsia="宋体" w:cs="宋体"/>
                <w:color w:val="000000"/>
                <w:kern w:val="0"/>
                <w:sz w:val="20"/>
                <w:szCs w:val="20"/>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2122" w:type="dxa"/>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抽查1处公共体育设施，询问其收费情况</w:t>
            </w:r>
          </w:p>
        </w:tc>
        <w:tc>
          <w:tcPr>
            <w:tcW w:w="6683" w:type="dxa"/>
            <w:noWrap w:val="0"/>
            <w:vAlign w:val="center"/>
          </w:tcPr>
          <w:p>
            <w:pPr>
              <w:widowControl/>
              <w:jc w:val="left"/>
              <w:rPr>
                <w:rFonts w:hint="eastAsia" w:ascii="宋体" w:hAnsi="宋体" w:eastAsia="宋体" w:cs="宋体"/>
                <w:color w:val="000000"/>
                <w:kern w:val="0"/>
                <w:sz w:val="20"/>
                <w:szCs w:val="20"/>
                <w:highlight w:val="none"/>
              </w:rPr>
            </w:pPr>
          </w:p>
        </w:tc>
        <w:tc>
          <w:tcPr>
            <w:tcW w:w="1783" w:type="dxa"/>
            <w:noWrap/>
            <w:vAlign w:val="center"/>
          </w:tcPr>
          <w:p>
            <w:pPr>
              <w:widowControl/>
              <w:jc w:val="left"/>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第三十条，</w:t>
            </w:r>
            <w:r>
              <w:rPr>
                <w:rFonts w:hint="eastAsia" w:ascii="宋体" w:hAnsi="宋体" w:eastAsia="宋体" w:cs="宋体"/>
                <w:color w:val="000000"/>
                <w:kern w:val="0"/>
                <w:sz w:val="20"/>
                <w:szCs w:val="20"/>
                <w:highlight w:val="none"/>
                <w:lang w:val="en-US" w:eastAsia="zh-CN"/>
              </w:rPr>
              <w:t>79</w:t>
            </w:r>
          </w:p>
        </w:tc>
      </w:tr>
    </w:tbl>
    <w:p>
      <w:pPr>
        <w:rPr>
          <w:rFonts w:ascii="宋体" w:hAnsi="宋体" w:eastAsia="宋体" w:cs="Times New Roman"/>
          <w:b/>
          <w:szCs w:val="21"/>
        </w:rPr>
      </w:pPr>
    </w:p>
    <w:p>
      <w:pPr>
        <w:rPr>
          <w:rFonts w:ascii="宋体" w:hAnsi="宋体" w:eastAsia="宋体" w:cs="Times New Roman"/>
          <w:b/>
          <w:szCs w:val="21"/>
        </w:rPr>
      </w:pPr>
    </w:p>
    <w:p>
      <w:pPr>
        <w:widowControl/>
        <w:jc w:val="left"/>
        <w:rPr>
          <w:rFonts w:ascii="宋体" w:hAnsi="宋体" w:eastAsia="宋体" w:cs="Times New Roman"/>
          <w:b/>
          <w:szCs w:val="21"/>
        </w:rPr>
      </w:pPr>
      <w:r>
        <w:rPr>
          <w:rFonts w:ascii="宋体" w:hAnsi="宋体" w:eastAsia="宋体" w:cs="Times New Roman"/>
          <w:b/>
          <w:szCs w:val="21"/>
        </w:rPr>
        <w:br w:type="page"/>
      </w:r>
    </w:p>
    <w:p>
      <w:pPr>
        <w:spacing w:afterLines="50" w:line="540" w:lineRule="exact"/>
        <w:jc w:val="center"/>
        <w:rPr>
          <w:rFonts w:ascii="黑体" w:hAnsi="黑体" w:eastAsia="黑体" w:cs="Times New Roman"/>
          <w:b w:val="0"/>
          <w:bCs w:val="0"/>
          <w:sz w:val="24"/>
          <w:szCs w:val="24"/>
        </w:rPr>
      </w:pPr>
      <w:r>
        <w:rPr>
          <w:rFonts w:hint="eastAsia" w:ascii="黑体" w:hAnsi="黑体" w:eastAsia="黑体" w:cs="宋体"/>
          <w:b w:val="0"/>
          <w:bCs w:val="0"/>
          <w:color w:val="000000"/>
          <w:kern w:val="0"/>
          <w:sz w:val="36"/>
          <w:szCs w:val="36"/>
        </w:rPr>
        <w:t>附录</w:t>
      </w:r>
      <w:r>
        <w:rPr>
          <w:rFonts w:ascii="黑体" w:hAnsi="黑体" w:eastAsia="黑体" w:cs="宋体"/>
          <w:b w:val="0"/>
          <w:bCs w:val="0"/>
          <w:color w:val="000000"/>
          <w:kern w:val="0"/>
          <w:sz w:val="36"/>
          <w:szCs w:val="36"/>
        </w:rPr>
        <w:t>2</w:t>
      </w:r>
      <w:r>
        <w:rPr>
          <w:rFonts w:hint="eastAsia" w:ascii="黑体" w:hAnsi="黑体" w:eastAsia="黑体" w:cs="宋体"/>
          <w:b w:val="0"/>
          <w:bCs w:val="0"/>
          <w:color w:val="000000"/>
          <w:kern w:val="0"/>
          <w:sz w:val="36"/>
          <w:szCs w:val="36"/>
        </w:rPr>
        <w:t>：评估细则中引用的标准和文件</w:t>
      </w:r>
    </w:p>
    <w:p>
      <w:pPr>
        <w:numPr>
          <w:ilvl w:val="0"/>
          <w:numId w:val="1"/>
        </w:numPr>
        <w:spacing w:line="540" w:lineRule="exact"/>
        <w:jc w:val="both"/>
        <w:rPr>
          <w:rFonts w:hint="eastAsia" w:ascii="宋体" w:hAnsi="宋体" w:cs="宋体"/>
          <w:bCs/>
          <w:szCs w:val="21"/>
        </w:rPr>
      </w:pPr>
      <w:bookmarkStart w:id="0" w:name="OLE_LINK1"/>
      <w:r>
        <w:rPr>
          <w:rFonts w:hint="eastAsia" w:ascii="宋体" w:hAnsi="宋体" w:cs="宋体"/>
          <w:bCs/>
          <w:szCs w:val="21"/>
        </w:rPr>
        <w:t>《关于开展健康影响评价评估制度建设试点工作的通知》（全爱卫办函〔2021〕8号）</w:t>
      </w:r>
    </w:p>
    <w:p>
      <w:pPr>
        <w:numPr>
          <w:ilvl w:val="0"/>
          <w:numId w:val="1"/>
        </w:numPr>
        <w:spacing w:line="540" w:lineRule="exact"/>
        <w:jc w:val="both"/>
        <w:rPr>
          <w:rFonts w:hint="eastAsia" w:ascii="宋体" w:hAnsi="宋体" w:cs="宋体"/>
          <w:bCs/>
          <w:szCs w:val="21"/>
          <w:highlight w:val="none"/>
        </w:rPr>
      </w:pPr>
      <w:r>
        <w:rPr>
          <w:rFonts w:hint="eastAsia" w:ascii="宋体" w:hAnsi="宋体" w:cs="宋体"/>
          <w:bCs/>
          <w:szCs w:val="21"/>
          <w:highlight w:val="none"/>
        </w:rPr>
        <w:t>《健康影响评价实施操作手册（2021版）》</w:t>
      </w:r>
      <w:r>
        <w:rPr>
          <w:rFonts w:hint="eastAsia" w:ascii="宋体" w:hAnsi="宋体" w:cs="宋体"/>
          <w:bCs/>
          <w:szCs w:val="21"/>
          <w:highlight w:val="none"/>
          <w:lang w:eastAsia="zh-CN"/>
        </w:rPr>
        <w:t>（</w:t>
      </w:r>
      <w:r>
        <w:rPr>
          <w:rFonts w:hint="eastAsia" w:ascii="宋体" w:hAnsi="宋体" w:cs="宋体"/>
          <w:bCs/>
          <w:szCs w:val="21"/>
          <w:highlight w:val="none"/>
          <w:lang w:val="en-US" w:eastAsia="zh-CN"/>
        </w:rPr>
        <w:t>中国健康教育中心，人民卫生出版社</w:t>
      </w:r>
      <w:r>
        <w:rPr>
          <w:rFonts w:hint="eastAsia" w:ascii="宋体" w:hAnsi="宋体" w:cs="宋体"/>
          <w:bCs/>
          <w:szCs w:val="21"/>
          <w:highlight w:val="none"/>
          <w:lang w:eastAsia="zh-CN"/>
        </w:rPr>
        <w:t>）</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《中华人民共和国基本医疗卫生与健康促进法》</w:t>
      </w:r>
      <w:r>
        <w:rPr>
          <w:rFonts w:hint="eastAsia" w:ascii="宋体" w:hAnsi="宋体" w:cs="宋体"/>
          <w:bCs/>
          <w:szCs w:val="21"/>
          <w:lang w:eastAsia="zh-CN"/>
        </w:rPr>
        <w:t>（2019年12月28日第十三届全国人民代表大会常务委员会第十五次会议通过）</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《“健康中国2030”规划纲要》</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《中华人民共和国城乡规划法》</w:t>
      </w:r>
      <w:r>
        <w:rPr>
          <w:rFonts w:hint="eastAsia" w:ascii="宋体" w:hAnsi="宋体" w:cs="宋体"/>
          <w:bCs/>
          <w:szCs w:val="21"/>
          <w:lang w:eastAsia="zh-CN"/>
        </w:rPr>
        <w:t>（2019年4月23日第十三届全国人民代表大会常务委员会第十次会议《关于修改＜中华人民共和国建筑法＞等八部法律的决定》第二次修正）</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《中华人民共和国环境保护法》</w:t>
      </w:r>
      <w:r>
        <w:rPr>
          <w:rFonts w:hint="eastAsia" w:ascii="宋体" w:hAnsi="宋体" w:cs="宋体"/>
          <w:bCs/>
          <w:szCs w:val="21"/>
          <w:lang w:eastAsia="zh-CN"/>
        </w:rPr>
        <w:t>（2014年4月24日第十二届全国人民代表大会常务委员会第八次会议修订）</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《乡村建设行动实施方案》</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《国务院关于印发“十三五”加快残疾人小康进程规划纲要的通知》（国发〔2016〕47号）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《国务院关于印发“十三五”国家老龄事业发展和养老体系建设规划的通知》（国发〔2017〕13号）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《建筑与市政工程无障碍通用规范》（GB 55019-2021）</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《无障碍设施施工验收及维护规范》（GB 50642-2011）</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《住房城乡建设部关于印发绿道规划设计导则的通知》（建城函〔2016〕211号）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农业农村部 国家发展改革委 科技部 自然资源部 生态环境部 国家林草局关于印发 《“十四五”全国农业绿色发展规划》的通知（农规发〔2021〕8号）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《国务院办公厅关于印发国家突发环境事件应急预案的通知》（国办函〔2014〕119 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《中华人民共和国大气污染防治法》</w:t>
      </w:r>
      <w:r>
        <w:rPr>
          <w:rFonts w:hint="eastAsia" w:ascii="宋体" w:hAnsi="宋体" w:cs="宋体"/>
          <w:bCs/>
          <w:szCs w:val="21"/>
          <w:lang w:eastAsia="zh-CN"/>
        </w:rPr>
        <w:t>（根据2018年10月26日第十三届全国人民代表大会常务委员会第六次会议《关于修改〈中华人民共和国野生动物保护法〉等十五部法律的决定》第二次修正）</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《环境空气质量标准》（GB 3095-2012）</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《环境空气质量指数（AQI）技术规定（试行）》（HJ 633-2012）</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《中华人民共和国噪声污染防治法》</w:t>
      </w:r>
      <w:r>
        <w:rPr>
          <w:rFonts w:hint="eastAsia" w:ascii="宋体" w:hAnsi="宋体" w:cs="宋体"/>
          <w:bCs/>
          <w:szCs w:val="21"/>
          <w:lang w:eastAsia="zh-CN"/>
        </w:rPr>
        <w:t>（2021年12月24日第十三届全国人民代表大会常务委员会第三十二次会议通过）</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《中共中央 国务院关于深入打好污染防治攻坚战的意见》</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《声环境质量标准》（GB 3096-2008）</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《声环境功能区划分技术规范》（GB/T 15190-2014）</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《环境噪声监测技术规范 城市声环境常规监测》（HJ 640-2012）</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《中华人民共和国水法》</w:t>
      </w:r>
      <w:r>
        <w:rPr>
          <w:rFonts w:hint="eastAsia" w:ascii="宋体" w:hAnsi="宋体" w:cs="宋体"/>
          <w:bCs/>
          <w:szCs w:val="21"/>
          <w:lang w:eastAsia="zh-CN"/>
        </w:rPr>
        <w:t>（根据2016年7月2日第十二届全国人民代表大会常务委员会第二十一次会议《关于修改〈中华人民共和国节约能源法〉等六部法律的决定》第二次修正）</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《中华人民共和国水污染防治法》</w:t>
      </w:r>
      <w:r>
        <w:rPr>
          <w:rFonts w:hint="eastAsia" w:ascii="宋体" w:hAnsi="宋体" w:cs="宋体"/>
          <w:bCs/>
          <w:szCs w:val="21"/>
          <w:lang w:eastAsia="zh-CN"/>
        </w:rPr>
        <w:t>（根据2017年6月27日第十二届全国人民代表大会常务委员会第二十八次会议《关于修改〈中华人民共和国水污染防治法〉的决定》第二次修正）</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《地表水环境质量标准》</w:t>
      </w:r>
      <w:r>
        <w:rPr>
          <w:rFonts w:hint="eastAsia" w:ascii="宋体" w:hAnsi="宋体" w:cs="宋体"/>
          <w:bCs/>
          <w:szCs w:val="21"/>
        </w:rPr>
        <w:fldChar w:fldCharType="begin"/>
      </w:r>
      <w:r>
        <w:rPr>
          <w:rFonts w:hint="eastAsia" w:ascii="宋体" w:hAnsi="宋体" w:cs="宋体"/>
          <w:bCs/>
          <w:szCs w:val="21"/>
        </w:rPr>
        <w:instrText xml:space="preserve"> HYPERLINK "https://www.360kuai.com/pc/971d01d6f828e1b8b?cota=4&amp;kuai_so=1&amp;tj_url=so_rec&amp;sign=360_57c3bbd1&amp;refer_scene=so_1" \t "_blank" </w:instrText>
      </w:r>
      <w:r>
        <w:rPr>
          <w:rFonts w:hint="eastAsia" w:ascii="宋体" w:hAnsi="宋体" w:cs="宋体"/>
          <w:bCs/>
          <w:szCs w:val="21"/>
        </w:rPr>
        <w:fldChar w:fldCharType="separate"/>
      </w:r>
      <w:r>
        <w:rPr>
          <w:rFonts w:hint="eastAsia" w:ascii="宋体" w:hAnsi="宋体" w:cs="宋体"/>
          <w:bCs/>
          <w:szCs w:val="21"/>
          <w:lang w:eastAsia="zh-CN"/>
        </w:rPr>
        <w:t>（</w:t>
      </w:r>
      <w:r>
        <w:rPr>
          <w:rFonts w:hint="eastAsia" w:ascii="宋体" w:hAnsi="宋体" w:cs="宋体"/>
          <w:bCs/>
          <w:szCs w:val="21"/>
        </w:rPr>
        <w:t>GB 3838-2002</w:t>
      </w:r>
      <w:r>
        <w:rPr>
          <w:rFonts w:hint="eastAsia" w:ascii="宋体" w:hAnsi="宋体" w:cs="宋体"/>
          <w:bCs/>
          <w:szCs w:val="21"/>
        </w:rPr>
        <w:fldChar w:fldCharType="end"/>
      </w:r>
      <w:r>
        <w:rPr>
          <w:rFonts w:hint="eastAsia" w:ascii="宋体" w:hAnsi="宋体" w:cs="宋体"/>
          <w:bCs/>
          <w:szCs w:val="21"/>
          <w:lang w:eastAsia="zh-CN"/>
        </w:rPr>
        <w:t>）</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《地下水质量标准》</w:t>
      </w:r>
      <w:r>
        <w:rPr>
          <w:rFonts w:hint="eastAsia" w:ascii="宋体" w:hAnsi="宋体" w:cs="宋体"/>
          <w:bCs/>
          <w:szCs w:val="21"/>
          <w:lang w:eastAsia="zh-CN"/>
        </w:rPr>
        <w:t>（</w:t>
      </w:r>
      <w:r>
        <w:rPr>
          <w:rFonts w:hint="eastAsia" w:ascii="宋体" w:hAnsi="宋体" w:cs="宋体"/>
          <w:bCs/>
          <w:szCs w:val="21"/>
        </w:rPr>
        <w:t>GB/T</w:t>
      </w:r>
      <w:r>
        <w:rPr>
          <w:rFonts w:hint="eastAsia" w:ascii="宋体" w:hAnsi="宋体" w:cs="宋体"/>
          <w:bCs/>
          <w:szCs w:val="21"/>
          <w:lang w:val="en-US" w:eastAsia="zh-CN"/>
        </w:rPr>
        <w:t xml:space="preserve"> </w:t>
      </w:r>
      <w:r>
        <w:rPr>
          <w:rFonts w:hint="eastAsia" w:ascii="宋体" w:hAnsi="宋体" w:cs="宋体"/>
          <w:bCs/>
          <w:szCs w:val="21"/>
        </w:rPr>
        <w:t>14848-2017</w:t>
      </w:r>
      <w:r>
        <w:rPr>
          <w:rFonts w:hint="eastAsia" w:ascii="宋体" w:hAnsi="宋体" w:cs="宋体"/>
          <w:bCs/>
          <w:szCs w:val="21"/>
          <w:lang w:eastAsia="zh-CN"/>
        </w:rPr>
        <w:t>）</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《生态环境部关于印发〈国家生态文明建设示范市县建设指标〉〈国家生态文明建设示范市县管理规程〉和〈“绿水青山就是金山银山”实践创新基地建设管理规程（试行）〉的通知》（环生态〔2019〕76号）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《城市黑臭水体整治工作指南》</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《生活饮用水卫生监督管理办法》（中华人民共和国建设部、卫生部令第53号）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《饮用水水源保护区标志技术要求》（HJ/T 433-2008）</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《生活饮用水卫生标准》（GB</w:t>
      </w:r>
      <w:r>
        <w:rPr>
          <w:rFonts w:hint="eastAsia" w:ascii="宋体" w:hAnsi="宋体" w:cs="宋体"/>
          <w:bCs/>
          <w:szCs w:val="21"/>
          <w:lang w:val="en-US" w:eastAsia="zh-CN"/>
        </w:rPr>
        <w:t xml:space="preserve"> </w:t>
      </w:r>
      <w:r>
        <w:rPr>
          <w:rFonts w:hint="eastAsia" w:ascii="宋体" w:hAnsi="宋体" w:cs="宋体"/>
          <w:bCs/>
          <w:szCs w:val="21"/>
        </w:rPr>
        <w:t>5749-2006）</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《水利部 发展改革委 财政部 人力资源社会保障部生态环境部 住房城乡建设部 农业农村部 卫生健康委乡村振兴局关于做好农村供水保障工作的指导意见》（水农〔2021〕244号）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《生活垃圾填埋场污染控制标准》（GB</w:t>
      </w:r>
      <w:r>
        <w:rPr>
          <w:rFonts w:hint="eastAsia" w:ascii="宋体" w:hAnsi="宋体" w:cs="宋体"/>
          <w:bCs/>
          <w:szCs w:val="21"/>
          <w:lang w:val="en-US" w:eastAsia="zh-CN"/>
        </w:rPr>
        <w:t xml:space="preserve"> </w:t>
      </w:r>
      <w:r>
        <w:rPr>
          <w:rFonts w:hint="eastAsia" w:ascii="宋体" w:hAnsi="宋体" w:cs="宋体"/>
          <w:bCs/>
          <w:szCs w:val="21"/>
        </w:rPr>
        <w:t>16889-2008）</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国家发展改革委 住房城乡建设部关于印发《“十四五”城镇生活垃圾分类和处理设施发展规划》的通知（发改环资〔2021〕642号）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《国家发展改革委 生态环境部关于印发“十四五”塑料污染治理行动方案的通知》（发改环资〔2021〕1298号）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《餐厨垃圾处理技术规范》（CJJ 184-2012）</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《环境卫生技术规范》（GB 51260-2017）</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《市容环卫工程项目规范》（GB 55013-2021）</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《环境卫生设施设置标准》（CJJ 27-2012）</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《城镇环境卫生设施除臭技术标准》（CJJ 274-2018）</w:t>
      </w:r>
    </w:p>
    <w:p>
      <w:pPr>
        <w:numPr>
          <w:ilvl w:val="0"/>
          <w:numId w:val="1"/>
        </w:numPr>
        <w:spacing w:line="540" w:lineRule="exact"/>
        <w:jc w:val="both"/>
        <w:rPr>
          <w:rFonts w:hint="eastAsia" w:ascii="宋体" w:hAnsi="宋体" w:cs="宋体"/>
          <w:bCs/>
          <w:szCs w:val="21"/>
        </w:rPr>
      </w:pPr>
      <w:r>
        <w:rPr>
          <w:rFonts w:hint="eastAsia" w:ascii="宋体" w:hAnsi="宋体" w:cs="宋体"/>
          <w:color w:val="000000"/>
          <w:kern w:val="0"/>
          <w:szCs w:val="21"/>
        </w:rPr>
        <w:t>《城市公共厕所设计标准》（CJJ</w:t>
      </w:r>
      <w:r>
        <w:rPr>
          <w:rFonts w:hint="eastAsia" w:ascii="宋体" w:hAnsi="宋体" w:cs="宋体"/>
          <w:color w:val="000000"/>
          <w:kern w:val="0"/>
          <w:szCs w:val="21"/>
          <w:lang w:val="en-US" w:eastAsia="zh-CN"/>
        </w:rPr>
        <w:t xml:space="preserve"> </w:t>
      </w:r>
      <w:r>
        <w:rPr>
          <w:rFonts w:hint="eastAsia" w:ascii="宋体" w:hAnsi="宋体" w:cs="宋体"/>
          <w:color w:val="000000"/>
          <w:kern w:val="0"/>
          <w:szCs w:val="21"/>
        </w:rPr>
        <w:t>14-2016）</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《城镇污水处理厂运营质量评价标准》（CJJ/T 228-2014）</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《城镇污水处理厂臭气处理技术规程》（CJJ/T 243-2016）</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《生活垃圾焚烧厂评价标准》（CJJ/T 137-2019）</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《生活垃圾焚烧污染控制标准》（GB 18485-2014）</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《城镇污水处理厂污染物排放标准》（GB 18918-2002）</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《城市环境卫生设施规划标准》（GB/T 50337-2018）</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《生活垃圾分类标志》</w:t>
      </w:r>
      <w:r>
        <w:rPr>
          <w:rFonts w:hint="eastAsia" w:ascii="宋体" w:hAnsi="宋体" w:cs="宋体"/>
          <w:bCs/>
          <w:szCs w:val="21"/>
          <w:lang w:eastAsia="zh-CN"/>
        </w:rPr>
        <w:t>（</w:t>
      </w:r>
      <w:r>
        <w:rPr>
          <w:rFonts w:hint="eastAsia" w:ascii="宋体" w:hAnsi="宋体" w:cs="宋体"/>
          <w:bCs/>
          <w:szCs w:val="21"/>
        </w:rPr>
        <w:t>GB/T</w:t>
      </w:r>
      <w:r>
        <w:rPr>
          <w:rFonts w:hint="eastAsia" w:ascii="宋体" w:hAnsi="宋体" w:cs="宋体"/>
          <w:bCs/>
          <w:szCs w:val="21"/>
          <w:lang w:val="en-US" w:eastAsia="zh-CN"/>
        </w:rPr>
        <w:t xml:space="preserve"> </w:t>
      </w:r>
      <w:r>
        <w:rPr>
          <w:rFonts w:hint="eastAsia" w:ascii="宋体" w:hAnsi="宋体" w:cs="宋体"/>
          <w:bCs/>
          <w:szCs w:val="21"/>
        </w:rPr>
        <w:t>19095-2019</w:t>
      </w:r>
      <w:r>
        <w:rPr>
          <w:rFonts w:hint="eastAsia" w:ascii="宋体" w:hAnsi="宋体" w:cs="宋体"/>
          <w:bCs/>
          <w:szCs w:val="21"/>
          <w:lang w:eastAsia="zh-CN"/>
        </w:rPr>
        <w:t>）</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《中华人民共和国固体废物污染环境防治法》</w:t>
      </w:r>
      <w:r>
        <w:rPr>
          <w:rFonts w:hint="eastAsia" w:ascii="宋体" w:hAnsi="宋体" w:cs="宋体"/>
          <w:bCs/>
          <w:szCs w:val="21"/>
          <w:lang w:eastAsia="zh-CN"/>
        </w:rPr>
        <w:t>（2020年4月29日第十三届全国人民代表大会常务委员会第十七次会议第二次修订）</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住房和城乡建设部等部门印发《关于进一步推进生活垃圾分类工作的若干意见》的通知（建城〔2020〕93号）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《国家发展改革委 生态环境部关于进一步加强塑料污染治理的意见》（发改环资〔2020〕80号）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《国务院办公厅转发交通运输部等单位关于加强铁路沿线安全环境治理工作意见的通知》（国办函〔2021〕49号）</w:t>
      </w:r>
    </w:p>
    <w:p>
      <w:pPr>
        <w:numPr>
          <w:ilvl w:val="0"/>
          <w:numId w:val="1"/>
        </w:numPr>
        <w:spacing w:line="540" w:lineRule="exact"/>
        <w:jc w:val="both"/>
        <w:rPr>
          <w:rFonts w:hint="eastAsia" w:ascii="宋体" w:hAnsi="宋体" w:cs="宋体"/>
          <w:bCs/>
          <w:szCs w:val="21"/>
        </w:rPr>
      </w:pPr>
      <w:r>
        <w:rPr>
          <w:rFonts w:hint="eastAsia" w:ascii="宋体" w:hAnsi="宋体" w:cs="宋体"/>
          <w:bCs/>
          <w:spacing w:val="6"/>
          <w:sz w:val="21"/>
          <w:szCs w:val="21"/>
        </w:rPr>
        <w:t>国家发展改革委 住房城乡建设部关于印发《“十四五”城镇污水处理及资源化利用发展规划》的通知（发改环资〔2021〕827号）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《市容环卫工程项目规范》</w:t>
      </w:r>
      <w:r>
        <w:rPr>
          <w:rFonts w:hint="eastAsia" w:ascii="宋体" w:hAnsi="宋体" w:cs="宋体"/>
          <w:bCs/>
          <w:szCs w:val="21"/>
          <w:lang w:eastAsia="zh-CN"/>
        </w:rPr>
        <w:t>（</w:t>
      </w:r>
      <w:r>
        <w:rPr>
          <w:rFonts w:hint="eastAsia" w:ascii="宋体" w:hAnsi="宋体" w:cs="宋体"/>
          <w:bCs/>
          <w:szCs w:val="21"/>
        </w:rPr>
        <w:t>GB 55013-2021</w:t>
      </w:r>
      <w:r>
        <w:rPr>
          <w:rFonts w:hint="eastAsia" w:ascii="宋体" w:hAnsi="宋体" w:cs="宋体"/>
          <w:bCs/>
          <w:szCs w:val="21"/>
          <w:lang w:eastAsia="zh-CN"/>
        </w:rPr>
        <w:t>）</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《医疗废物处理处置污染控制标准》（GB 39707-2020）</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《住房城乡建设部 国家铁路局 中国铁路总公司关于建立高速铁路沿线环境综合整治长效机制的意见》</w:t>
      </w:r>
    </w:p>
    <w:p>
      <w:pPr>
        <w:numPr>
          <w:ilvl w:val="0"/>
          <w:numId w:val="1"/>
        </w:numPr>
        <w:spacing w:line="540" w:lineRule="exact"/>
        <w:jc w:val="both"/>
        <w:rPr>
          <w:rFonts w:hint="eastAsia" w:ascii="宋体" w:hAnsi="宋体" w:cs="宋体"/>
          <w:bCs/>
          <w:szCs w:val="21"/>
        </w:rPr>
      </w:pPr>
      <w:r>
        <w:rPr>
          <w:rFonts w:hint="eastAsia" w:ascii="宋体" w:hAnsi="宋体" w:cs="宋体"/>
          <w:bCs/>
          <w:szCs w:val="21"/>
          <w:lang w:eastAsia="zh-CN"/>
        </w:rPr>
        <w:t>《</w:t>
      </w:r>
      <w:r>
        <w:rPr>
          <w:rFonts w:hint="eastAsia" w:ascii="宋体" w:hAnsi="宋体" w:cs="宋体"/>
          <w:bCs/>
          <w:szCs w:val="21"/>
        </w:rPr>
        <w:t>关于印发医疗废物分类目录（2021年版）的通知》（国卫医函〔2021〕238号）</w:t>
      </w:r>
    </w:p>
    <w:p>
      <w:pPr>
        <w:numPr>
          <w:ilvl w:val="0"/>
          <w:numId w:val="1"/>
        </w:numPr>
        <w:spacing w:line="540" w:lineRule="exact"/>
        <w:jc w:val="both"/>
        <w:rPr>
          <w:rFonts w:hint="eastAsia" w:ascii="宋体" w:hAnsi="宋体" w:cs="宋体"/>
          <w:bCs/>
          <w:spacing w:val="6"/>
          <w:sz w:val="21"/>
          <w:szCs w:val="21"/>
        </w:rPr>
      </w:pPr>
      <w:r>
        <w:rPr>
          <w:rFonts w:hint="eastAsia" w:ascii="宋体" w:hAnsi="宋体" w:cs="宋体"/>
          <w:bCs/>
          <w:spacing w:val="6"/>
          <w:sz w:val="21"/>
          <w:szCs w:val="21"/>
        </w:rPr>
        <w:t>《医疗废物管理条例》</w:t>
      </w:r>
      <w:r>
        <w:rPr>
          <w:rFonts w:hint="eastAsia" w:ascii="宋体" w:hAnsi="宋体" w:cs="宋体"/>
          <w:bCs/>
          <w:spacing w:val="6"/>
          <w:sz w:val="21"/>
          <w:szCs w:val="21"/>
          <w:lang w:eastAsia="zh-CN"/>
        </w:rPr>
        <w:t>（</w:t>
      </w:r>
      <w:r>
        <w:rPr>
          <w:rFonts w:hint="eastAsia" w:ascii="宋体" w:hAnsi="宋体" w:cs="宋体"/>
          <w:color w:val="000000"/>
          <w:spacing w:val="6"/>
          <w:kern w:val="0"/>
          <w:sz w:val="21"/>
          <w:szCs w:val="21"/>
        </w:rPr>
        <w:t>根据2011年1月8日《国务院关于废止和修改部分行政法规的决定》修订</w:t>
      </w:r>
      <w:r>
        <w:rPr>
          <w:rFonts w:hint="eastAsia" w:ascii="宋体" w:hAnsi="宋体" w:cs="宋体"/>
          <w:bCs/>
          <w:spacing w:val="6"/>
          <w:sz w:val="21"/>
          <w:szCs w:val="21"/>
          <w:lang w:eastAsia="zh-CN"/>
        </w:rPr>
        <w:t>）</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《住房和城乡建设部等部门关于在全国地级及以上城市全面开展生活垃圾分类工作的通知》</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《公共厕所卫生规范》（GB/T 17217-2021）</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《病媒生物密度控制水平 鼠类》（GB/T 27770-2011）</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《病媒生物密度控制水平 蚊虫》（GB/T 27771-2011）</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《病媒生物密度控制水平 蝇类》（GB/T 27772-2011）</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《病媒生物密度控制水平 蜚蠊》（GB/T 27773-2011）</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《全国人民代表大会常务委员会关于全面禁止非法野生动物交易、革除滥食野生动物陋习、切实保障人民群众生命健康安全的决定》</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《国家林业和草原局关于规范禁食野生动物分类管理范围的通知》（林护发〔2020〕90号）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《饮食业油烟排放标准》（GB</w:t>
      </w:r>
      <w:r>
        <w:rPr>
          <w:rFonts w:hint="eastAsia" w:ascii="宋体" w:hAnsi="宋体" w:cs="宋体"/>
          <w:bCs/>
          <w:szCs w:val="21"/>
          <w:lang w:val="en-US" w:eastAsia="zh-CN"/>
        </w:rPr>
        <w:t xml:space="preserve"> </w:t>
      </w:r>
      <w:r>
        <w:rPr>
          <w:rFonts w:hint="eastAsia" w:ascii="宋体" w:hAnsi="宋体" w:cs="宋体"/>
          <w:bCs/>
          <w:szCs w:val="21"/>
        </w:rPr>
        <w:t>18483-2001）</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《市场监管总局关于印发餐饮服务明厨亮灶工作指导意见的通知》（国市监食监二〔2018〕32号）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《市场监管总局关于发布餐饮服务食品安全操作规范的公告》(2018第12号)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《关于印发健康村等健康细胞和健康乡镇、健康县区建设规范（试行）的通知》（全爱卫办发〔2021〕4号）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《国务院办公厅关于印发“十四五”国民健康规划的通知》（国办发〔2022〕11号）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《国务院办公厅关于印发“十四五”全民医疗保障规划的通知》（国办发〔2021〕36号）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关于印发《“十四五”公共服务规划》的通知（发改社会〔2021〕1946号）</w:t>
      </w:r>
    </w:p>
    <w:p>
      <w:pPr>
        <w:numPr>
          <w:ilvl w:val="0"/>
          <w:numId w:val="1"/>
        </w:numPr>
        <w:spacing w:line="540" w:lineRule="exact"/>
        <w:jc w:val="both"/>
        <w:rPr>
          <w:rFonts w:hint="eastAsia" w:ascii="宋体" w:hAnsi="宋体" w:cs="宋体"/>
          <w:bCs/>
          <w:szCs w:val="21"/>
        </w:rPr>
      </w:pPr>
      <w:r>
        <w:rPr>
          <w:rFonts w:hint="eastAsia" w:ascii="宋体" w:hAnsi="宋体" w:cs="宋体"/>
          <w:bCs/>
          <w:spacing w:val="6"/>
          <w:sz w:val="21"/>
          <w:szCs w:val="21"/>
        </w:rPr>
        <w:t>民政部 国家发展和改革委员会关于印发《“十四五”民政事业发展规划》的通知（民发〔2021〕51号）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《健康中国行动推进委员会关于印发健康中国行动2021-2022年考核实施方案的通知》（国健推委发〔2022〕1号）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《国务院关于印发“十四五”国家老龄事业发展和养老服务体系规划的通知》（国发〔2021〕35号）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《中共中央 国务院关于加强新时代老龄工作的意见》</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《国务院未成年人保护工作领导小组关于加强未成年人保护工作的意见》（国未保组〔2021〕1号）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《中华人民共和国国民经济和社会发展第十四个五年规划和2035年远景目标纲要》</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《国家基本公共卫生服务规范（第三版）》</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《健康中国行动（2019—2030年）》</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《卫生健康委关于印发严重精神障碍管理治疗工作规范（2018年版）的通知》（国卫疾控发〔2018〕13号）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民政部 国家卫生健康委 中国残联关于印发《精神障碍社区康复服务工作规范》的通知（民发〔2020〕147号）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《关于加强心理健康服务的指导意见》（国卫疾控发〔2016〕77号）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《关于印发加强和完善精神专科医疗服务意见的通知》</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《民政部 财政部 卫生计生委 中国残联关于加快精神障碍社区康复服务发展的意见》</w:t>
      </w:r>
      <w:r>
        <w:rPr>
          <w:rFonts w:hint="eastAsia" w:ascii="宋体" w:hAnsi="宋体" w:cs="宋体"/>
          <w:bCs/>
          <w:szCs w:val="21"/>
          <w:lang w:eastAsia="zh-CN"/>
        </w:rPr>
        <w:t>（</w:t>
      </w:r>
      <w:r>
        <w:rPr>
          <w:rFonts w:hint="eastAsia" w:ascii="宋体" w:hAnsi="宋体" w:cs="宋体"/>
          <w:bCs/>
          <w:szCs w:val="21"/>
        </w:rPr>
        <w:t>民发〔2017〕167号</w:t>
      </w:r>
      <w:r>
        <w:rPr>
          <w:rFonts w:hint="eastAsia" w:ascii="宋体" w:hAnsi="宋体" w:cs="宋体"/>
          <w:bCs/>
          <w:szCs w:val="21"/>
          <w:lang w:eastAsia="zh-CN"/>
        </w:rPr>
        <w:t>）</w:t>
      </w:r>
    </w:p>
    <w:p>
      <w:pPr>
        <w:numPr>
          <w:ilvl w:val="0"/>
          <w:numId w:val="1"/>
        </w:numPr>
        <w:spacing w:line="540" w:lineRule="exact"/>
        <w:jc w:val="both"/>
        <w:rPr>
          <w:rFonts w:hint="eastAsia" w:ascii="宋体" w:hAnsi="宋体" w:cs="宋体"/>
          <w:bCs/>
          <w:spacing w:val="6"/>
          <w:sz w:val="21"/>
          <w:szCs w:val="21"/>
        </w:rPr>
      </w:pPr>
      <w:r>
        <w:rPr>
          <w:rFonts w:hint="eastAsia" w:ascii="宋体" w:hAnsi="宋体" w:cs="宋体"/>
          <w:bCs/>
          <w:spacing w:val="6"/>
          <w:sz w:val="21"/>
          <w:szCs w:val="21"/>
        </w:rPr>
        <w:t>国务院办公厅关于印发《中国防治慢性病中长期规划（2017—2025年）》的通知（国办发〔2017〕12号）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《乡镇卫生院建设标准》（建标107-2008）</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《妇幼健康服务机构建设标准》</w:t>
      </w:r>
      <w:r>
        <w:rPr>
          <w:rFonts w:hint="eastAsia" w:ascii="宋体" w:hAnsi="宋体" w:cs="宋体"/>
          <w:bCs/>
          <w:szCs w:val="21"/>
          <w:lang w:eastAsia="zh-CN"/>
        </w:rPr>
        <w:t>（</w:t>
      </w:r>
      <w:r>
        <w:rPr>
          <w:rFonts w:hint="eastAsia" w:ascii="宋体" w:hAnsi="宋体" w:cs="宋体"/>
          <w:bCs/>
          <w:szCs w:val="21"/>
        </w:rPr>
        <w:t>建标189-2017</w:t>
      </w:r>
      <w:r>
        <w:rPr>
          <w:rFonts w:hint="eastAsia" w:ascii="宋体" w:hAnsi="宋体" w:cs="宋体"/>
          <w:bCs/>
          <w:szCs w:val="21"/>
          <w:lang w:eastAsia="zh-CN"/>
        </w:rPr>
        <w:t>）</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《国家卫生健康委 财政部 人力资源社会保障部 国家医保局 国家中医药局 国家疾控局 关于推进家庭医生签约服务高质量发展的指导意见》（国卫基层发〔2022〕10号）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《国家卫生健康委关于印发“十四五”卫生健康人才发展规划的通知》（国卫人发〔2022〕27号）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《中国儿童发展纲要（2021—2030年）》</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《关于印发国家职业病防治规划（2021-2025年）的通知》（国卫职健发〔2021〕39号）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《国务院办公厅关于印发全国医疗卫生服务体系规划纲要（2015—2020年）的通知》（国办发〔2015〕14号）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《十四五医疗卫生服务体系建设规划》</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《疾病预防控制中心建设标准》（建标127-2009）（以最新版为准）</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《中华人民共和国突发事件应对法》</w:t>
      </w:r>
      <w:r>
        <w:rPr>
          <w:rFonts w:hint="eastAsia" w:ascii="宋体" w:hAnsi="宋体" w:cs="宋体"/>
          <w:bCs/>
          <w:szCs w:val="21"/>
          <w:lang w:eastAsia="zh-CN"/>
        </w:rPr>
        <w:t>（主席令第六十九号）</w:t>
      </w:r>
    </w:p>
    <w:p>
      <w:pPr>
        <w:numPr>
          <w:ilvl w:val="0"/>
          <w:numId w:val="1"/>
        </w:numPr>
        <w:spacing w:line="540" w:lineRule="exact"/>
        <w:jc w:val="both"/>
        <w:rPr>
          <w:rFonts w:hint="eastAsia" w:ascii="宋体" w:hAnsi="宋体" w:cs="宋体"/>
          <w:bCs/>
          <w:szCs w:val="21"/>
        </w:rPr>
      </w:pPr>
      <w:r>
        <w:rPr>
          <w:rFonts w:hint="eastAsia" w:ascii="宋体" w:hAnsi="宋体" w:cs="宋体"/>
          <w:bCs/>
          <w:szCs w:val="21"/>
        </w:rPr>
        <w:t>《中华人民共和国传染病防治法》</w:t>
      </w:r>
      <w:r>
        <w:rPr>
          <w:rFonts w:hint="eastAsia" w:ascii="宋体" w:hAnsi="宋体" w:cs="宋体"/>
          <w:bCs/>
          <w:szCs w:val="21"/>
          <w:lang w:eastAsia="zh-CN"/>
        </w:rPr>
        <w:t>（根据2013年6月29日第十二届全国人民代表大会常务委员会第三次会议《关于修改&lt;中华人民共和国文物保护法&gt;等十二部法律的决定》修正）</w:t>
      </w:r>
    </w:p>
    <w:p>
      <w:pPr>
        <w:numPr>
          <w:ilvl w:val="0"/>
          <w:numId w:val="1"/>
        </w:numPr>
        <w:spacing w:line="540" w:lineRule="exact"/>
        <w:jc w:val="both"/>
        <w:rPr>
          <w:rFonts w:hint="eastAsia" w:ascii="宋体" w:hAnsi="宋体" w:cs="宋体"/>
          <w:bCs/>
          <w:szCs w:val="21"/>
        </w:rPr>
      </w:pPr>
      <w:r>
        <w:rPr>
          <w:rFonts w:hint="eastAsia" w:ascii="宋体" w:hAnsi="宋体" w:cs="宋体"/>
          <w:bCs/>
          <w:spacing w:val="6"/>
          <w:sz w:val="21"/>
          <w:szCs w:val="21"/>
        </w:rPr>
        <w:t>《突发公共卫生事件应急条例》</w:t>
      </w:r>
      <w:r>
        <w:rPr>
          <w:rFonts w:hint="eastAsia" w:ascii="宋体" w:hAnsi="宋体" w:cs="宋体"/>
          <w:bCs/>
          <w:spacing w:val="6"/>
          <w:sz w:val="21"/>
          <w:szCs w:val="21"/>
          <w:lang w:eastAsia="zh-CN"/>
        </w:rPr>
        <w:t>（根据2011年1月8日《国务院关于废止和修改部分行政法规的决定》修订）</w:t>
      </w:r>
    </w:p>
    <w:p>
      <w:pPr>
        <w:numPr>
          <w:ilvl w:val="0"/>
          <w:numId w:val="1"/>
        </w:numPr>
        <w:tabs>
          <w:tab w:val="left" w:pos="420"/>
          <w:tab w:val="left" w:pos="840"/>
        </w:tabs>
        <w:spacing w:line="540" w:lineRule="exact"/>
        <w:jc w:val="both"/>
        <w:rPr>
          <w:rFonts w:hint="eastAsia" w:ascii="宋体" w:hAnsi="宋体" w:cs="宋体"/>
          <w:bCs/>
          <w:szCs w:val="21"/>
        </w:rPr>
      </w:pPr>
      <w:r>
        <w:rPr>
          <w:rFonts w:hint="eastAsia" w:ascii="宋体" w:hAnsi="宋体" w:cs="宋体"/>
          <w:bCs/>
          <w:szCs w:val="21"/>
        </w:rPr>
        <w:t>《国家突发公共卫生事件应急预案》</w:t>
      </w:r>
    </w:p>
    <w:p>
      <w:pPr>
        <w:numPr>
          <w:ilvl w:val="0"/>
          <w:numId w:val="1"/>
        </w:numPr>
        <w:tabs>
          <w:tab w:val="left" w:pos="420"/>
        </w:tabs>
        <w:spacing w:line="540" w:lineRule="exact"/>
        <w:jc w:val="both"/>
        <w:rPr>
          <w:rFonts w:hint="eastAsia" w:ascii="宋体" w:hAnsi="宋体" w:cs="宋体"/>
          <w:bCs/>
          <w:szCs w:val="21"/>
        </w:rPr>
      </w:pPr>
      <w:r>
        <w:rPr>
          <w:rFonts w:hint="eastAsia" w:ascii="宋体" w:hAnsi="宋体" w:cs="宋体"/>
          <w:bCs/>
          <w:szCs w:val="21"/>
        </w:rPr>
        <w:t>《院前医疗急救管理办法》（国家卫生和计划生育委员会令第3号）</w:t>
      </w:r>
    </w:p>
    <w:p>
      <w:pPr>
        <w:numPr>
          <w:ilvl w:val="0"/>
          <w:numId w:val="1"/>
        </w:numPr>
        <w:tabs>
          <w:tab w:val="left" w:pos="210"/>
          <w:tab w:val="left" w:pos="420"/>
        </w:tabs>
        <w:spacing w:line="540" w:lineRule="exact"/>
        <w:jc w:val="both"/>
        <w:rPr>
          <w:rFonts w:hint="eastAsia" w:ascii="宋体" w:hAnsi="宋体" w:cs="宋体"/>
          <w:bCs/>
          <w:szCs w:val="21"/>
        </w:rPr>
      </w:pPr>
      <w:r>
        <w:rPr>
          <w:rFonts w:hint="eastAsia" w:ascii="宋体" w:hAnsi="宋体" w:cs="宋体"/>
          <w:bCs/>
          <w:szCs w:val="21"/>
        </w:rPr>
        <w:t>《关于印发公共卫生防控救治能力建设方案的通知》（发改社会〔2020〕735号）</w:t>
      </w:r>
    </w:p>
    <w:p>
      <w:pPr>
        <w:numPr>
          <w:ilvl w:val="0"/>
          <w:numId w:val="1"/>
        </w:numPr>
        <w:tabs>
          <w:tab w:val="left" w:pos="116"/>
          <w:tab w:val="left" w:pos="220"/>
          <w:tab w:val="left" w:pos="420"/>
          <w:tab w:val="left" w:pos="630"/>
          <w:tab w:val="left" w:pos="1050"/>
        </w:tabs>
        <w:spacing w:line="540" w:lineRule="exact"/>
        <w:ind w:left="-200" w:firstLine="199" w:firstLineChars="95"/>
        <w:jc w:val="both"/>
        <w:rPr>
          <w:rFonts w:hint="eastAsia" w:ascii="宋体" w:hAnsi="宋体" w:cs="宋体"/>
          <w:bCs/>
          <w:szCs w:val="21"/>
        </w:rPr>
      </w:pPr>
      <w:r>
        <w:rPr>
          <w:rFonts w:hint="eastAsia" w:ascii="宋体" w:hAnsi="宋体" w:cs="宋体"/>
          <w:bCs/>
          <w:szCs w:val="21"/>
        </w:rPr>
        <w:t>《中国居民及重点人群健康素养监测统计调查制度》</w:t>
      </w:r>
    </w:p>
    <w:p>
      <w:pPr>
        <w:numPr>
          <w:ilvl w:val="0"/>
          <w:numId w:val="1"/>
        </w:numPr>
        <w:tabs>
          <w:tab w:val="left" w:pos="116"/>
          <w:tab w:val="left" w:pos="220"/>
          <w:tab w:val="left" w:pos="420"/>
          <w:tab w:val="left" w:pos="630"/>
          <w:tab w:val="left" w:pos="1050"/>
        </w:tabs>
        <w:spacing w:line="540" w:lineRule="exact"/>
        <w:ind w:left="218" w:hanging="218" w:hangingChars="104"/>
        <w:jc w:val="both"/>
        <w:rPr>
          <w:rFonts w:hint="eastAsia" w:ascii="宋体" w:hAnsi="宋体" w:cs="宋体"/>
          <w:bCs/>
          <w:szCs w:val="21"/>
        </w:rPr>
      </w:pPr>
      <w:r>
        <w:rPr>
          <w:rFonts w:hint="eastAsia" w:ascii="宋体" w:hAnsi="宋体" w:cs="宋体"/>
          <w:bCs/>
          <w:szCs w:val="21"/>
        </w:rPr>
        <w:t>《国务院关于实施健康中国行动的意见》（国发〔2019〕13号）</w:t>
      </w:r>
    </w:p>
    <w:p>
      <w:pPr>
        <w:numPr>
          <w:ilvl w:val="0"/>
          <w:numId w:val="1"/>
        </w:numPr>
        <w:tabs>
          <w:tab w:val="left" w:pos="116"/>
          <w:tab w:val="left" w:pos="220"/>
          <w:tab w:val="left" w:pos="420"/>
          <w:tab w:val="left" w:pos="630"/>
          <w:tab w:val="left" w:pos="1050"/>
        </w:tabs>
        <w:spacing w:line="540" w:lineRule="exact"/>
        <w:ind w:left="218" w:hanging="218" w:hangingChars="104"/>
        <w:jc w:val="both"/>
        <w:rPr>
          <w:rFonts w:hint="eastAsia" w:ascii="宋体" w:hAnsi="宋体" w:cs="宋体"/>
          <w:bCs/>
          <w:szCs w:val="21"/>
        </w:rPr>
      </w:pPr>
      <w:r>
        <w:rPr>
          <w:rFonts w:hint="eastAsia" w:ascii="宋体" w:hAnsi="宋体" w:cs="宋体"/>
          <w:bCs/>
          <w:szCs w:val="21"/>
        </w:rPr>
        <w:t>《国务院办公厅关于印发健康中国行动组织实施和考核方案的通知》（国办发〔2019〕32</w:t>
      </w:r>
    </w:p>
    <w:p>
      <w:pPr>
        <w:numPr>
          <w:ilvl w:val="0"/>
          <w:numId w:val="0"/>
        </w:numPr>
        <w:tabs>
          <w:tab w:val="left" w:pos="116"/>
          <w:tab w:val="left" w:pos="220"/>
          <w:tab w:val="left" w:pos="420"/>
          <w:tab w:val="left" w:pos="630"/>
          <w:tab w:val="left" w:pos="1050"/>
        </w:tabs>
        <w:spacing w:line="540" w:lineRule="exact"/>
        <w:ind w:leftChars="-104" w:firstLine="630" w:firstLineChars="300"/>
        <w:jc w:val="both"/>
        <w:rPr>
          <w:rFonts w:hint="eastAsia" w:ascii="宋体" w:hAnsi="宋体" w:cs="宋体"/>
          <w:bCs/>
          <w:szCs w:val="21"/>
        </w:rPr>
      </w:pPr>
      <w:r>
        <w:rPr>
          <w:rFonts w:hint="eastAsia" w:ascii="宋体" w:hAnsi="宋体" w:cs="宋体"/>
          <w:bCs/>
          <w:szCs w:val="21"/>
        </w:rPr>
        <w:t>号）</w:t>
      </w:r>
    </w:p>
    <w:p>
      <w:pPr>
        <w:numPr>
          <w:ilvl w:val="0"/>
          <w:numId w:val="1"/>
        </w:numPr>
        <w:tabs>
          <w:tab w:val="left" w:pos="116"/>
          <w:tab w:val="left" w:pos="220"/>
          <w:tab w:val="left" w:pos="420"/>
          <w:tab w:val="left" w:pos="630"/>
          <w:tab w:val="left" w:pos="1050"/>
        </w:tabs>
        <w:spacing w:line="540" w:lineRule="exact"/>
        <w:ind w:left="218" w:hanging="218" w:hangingChars="104"/>
        <w:jc w:val="both"/>
        <w:rPr>
          <w:rFonts w:hint="eastAsia" w:ascii="宋体" w:hAnsi="宋体" w:cs="宋体"/>
          <w:bCs/>
          <w:szCs w:val="21"/>
        </w:rPr>
      </w:pPr>
      <w:r>
        <w:rPr>
          <w:rFonts w:hint="eastAsia" w:ascii="宋体" w:hAnsi="宋体" w:cs="宋体"/>
          <w:bCs/>
          <w:szCs w:val="21"/>
        </w:rPr>
        <w:t>《国家卫生计生委办公厅关于印发健康科普信息生成与传播指南（试行）的通知》（国卫办</w:t>
      </w:r>
    </w:p>
    <w:p>
      <w:pPr>
        <w:numPr>
          <w:ilvl w:val="0"/>
          <w:numId w:val="0"/>
        </w:numPr>
        <w:tabs>
          <w:tab w:val="left" w:pos="116"/>
          <w:tab w:val="left" w:pos="220"/>
          <w:tab w:val="left" w:pos="420"/>
          <w:tab w:val="left" w:pos="630"/>
          <w:tab w:val="left" w:pos="1050"/>
        </w:tabs>
        <w:spacing w:line="540" w:lineRule="exact"/>
        <w:ind w:left="-216" w:leftChars="-103" w:firstLine="636" w:firstLineChars="303"/>
        <w:jc w:val="both"/>
        <w:rPr>
          <w:rFonts w:hint="eastAsia" w:ascii="宋体" w:hAnsi="宋体" w:cs="宋体"/>
          <w:bCs/>
          <w:szCs w:val="21"/>
        </w:rPr>
      </w:pPr>
      <w:r>
        <w:rPr>
          <w:rFonts w:hint="eastAsia" w:ascii="宋体" w:hAnsi="宋体" w:cs="宋体"/>
          <w:bCs/>
          <w:szCs w:val="21"/>
        </w:rPr>
        <w:t>宣传函〔2015〕665号）</w:t>
      </w:r>
    </w:p>
    <w:p>
      <w:pPr>
        <w:numPr>
          <w:ilvl w:val="0"/>
          <w:numId w:val="1"/>
        </w:numPr>
        <w:tabs>
          <w:tab w:val="left" w:pos="116"/>
          <w:tab w:val="left" w:pos="220"/>
          <w:tab w:val="left" w:pos="420"/>
          <w:tab w:val="left" w:pos="630"/>
          <w:tab w:val="left" w:pos="1050"/>
        </w:tabs>
        <w:spacing w:line="540" w:lineRule="exact"/>
        <w:ind w:left="218" w:hanging="218" w:hangingChars="104"/>
        <w:jc w:val="both"/>
        <w:rPr>
          <w:rFonts w:hint="eastAsia" w:ascii="宋体" w:hAnsi="宋体" w:cs="宋体"/>
          <w:bCs/>
          <w:szCs w:val="21"/>
        </w:rPr>
      </w:pPr>
      <w:r>
        <w:rPr>
          <w:rFonts w:hint="eastAsia" w:ascii="宋体" w:hAnsi="宋体" w:cs="宋体"/>
          <w:bCs/>
          <w:szCs w:val="21"/>
        </w:rPr>
        <w:t>《国家卫生计生委办公厅关于加强健康教育信息服务管理的通知》（国卫办宣传函〔2017〕</w:t>
      </w:r>
    </w:p>
    <w:p>
      <w:pPr>
        <w:numPr>
          <w:ilvl w:val="0"/>
          <w:numId w:val="0"/>
        </w:numPr>
        <w:tabs>
          <w:tab w:val="left" w:pos="116"/>
          <w:tab w:val="left" w:pos="220"/>
          <w:tab w:val="left" w:pos="420"/>
          <w:tab w:val="left" w:pos="630"/>
          <w:tab w:val="left" w:pos="1050"/>
        </w:tabs>
        <w:spacing w:line="540" w:lineRule="exact"/>
        <w:ind w:left="-216" w:leftChars="-103" w:firstLine="636" w:firstLineChars="303"/>
        <w:jc w:val="both"/>
        <w:rPr>
          <w:rFonts w:hint="eastAsia" w:ascii="宋体" w:hAnsi="宋体" w:cs="宋体"/>
          <w:bCs/>
          <w:szCs w:val="21"/>
        </w:rPr>
      </w:pPr>
      <w:r>
        <w:rPr>
          <w:rFonts w:hint="eastAsia" w:ascii="宋体" w:hAnsi="宋体" w:cs="宋体"/>
          <w:bCs/>
          <w:szCs w:val="21"/>
        </w:rPr>
        <w:t>823号）</w:t>
      </w:r>
    </w:p>
    <w:p>
      <w:pPr>
        <w:numPr>
          <w:ilvl w:val="0"/>
          <w:numId w:val="1"/>
        </w:numPr>
        <w:tabs>
          <w:tab w:val="left" w:pos="116"/>
          <w:tab w:val="left" w:pos="220"/>
          <w:tab w:val="left" w:pos="420"/>
          <w:tab w:val="left" w:pos="630"/>
          <w:tab w:val="left" w:pos="1050"/>
        </w:tabs>
        <w:spacing w:line="540" w:lineRule="exact"/>
        <w:ind w:left="218" w:hanging="218" w:hangingChars="104"/>
        <w:jc w:val="both"/>
        <w:rPr>
          <w:rFonts w:hint="eastAsia" w:ascii="宋体" w:hAnsi="宋体" w:cs="宋体"/>
          <w:bCs/>
          <w:szCs w:val="21"/>
        </w:rPr>
      </w:pPr>
      <w:r>
        <w:rPr>
          <w:rFonts w:hint="eastAsia" w:ascii="宋体" w:hAnsi="宋体" w:cs="宋体"/>
          <w:bCs/>
          <w:szCs w:val="21"/>
        </w:rPr>
        <w:t>《国务院办公厅关于印发“十四五”中医药发展规划的通知》（国办发〔2022〕5号）</w:t>
      </w:r>
    </w:p>
    <w:p>
      <w:pPr>
        <w:numPr>
          <w:ilvl w:val="0"/>
          <w:numId w:val="1"/>
        </w:numPr>
        <w:tabs>
          <w:tab w:val="left" w:pos="116"/>
          <w:tab w:val="left" w:pos="220"/>
          <w:tab w:val="left" w:pos="420"/>
        </w:tabs>
        <w:spacing w:line="540" w:lineRule="exact"/>
        <w:ind w:left="218" w:hanging="218" w:hangingChars="104"/>
        <w:jc w:val="both"/>
        <w:rPr>
          <w:rFonts w:hint="eastAsia" w:ascii="宋体" w:hAnsi="宋体" w:cs="宋体"/>
          <w:bCs/>
          <w:szCs w:val="21"/>
        </w:rPr>
      </w:pPr>
      <w:r>
        <w:rPr>
          <w:rFonts w:hint="eastAsia" w:ascii="宋体" w:hAnsi="宋体" w:cs="宋体"/>
          <w:bCs/>
          <w:szCs w:val="21"/>
        </w:rPr>
        <w:t>《关于印发基层中医药服务能力提升工程“十四五”行动计划的通知》（国中医药医政发</w:t>
      </w:r>
    </w:p>
    <w:p>
      <w:pPr>
        <w:numPr>
          <w:ilvl w:val="0"/>
          <w:numId w:val="0"/>
        </w:numPr>
        <w:tabs>
          <w:tab w:val="left" w:pos="116"/>
          <w:tab w:val="left" w:pos="220"/>
          <w:tab w:val="left" w:pos="420"/>
        </w:tabs>
        <w:spacing w:line="540" w:lineRule="exact"/>
        <w:ind w:left="-216" w:leftChars="-103" w:firstLine="636" w:firstLineChars="303"/>
        <w:jc w:val="both"/>
        <w:rPr>
          <w:rFonts w:hint="eastAsia" w:ascii="宋体" w:hAnsi="宋体" w:cs="宋体"/>
          <w:bCs/>
          <w:szCs w:val="21"/>
        </w:rPr>
      </w:pPr>
      <w:r>
        <w:rPr>
          <w:rFonts w:hint="eastAsia" w:ascii="宋体" w:hAnsi="宋体" w:cs="宋体"/>
          <w:bCs/>
          <w:szCs w:val="21"/>
        </w:rPr>
        <w:t>〔2022〕3号）</w:t>
      </w:r>
    </w:p>
    <w:p>
      <w:pPr>
        <w:numPr>
          <w:ilvl w:val="0"/>
          <w:numId w:val="1"/>
        </w:numPr>
        <w:tabs>
          <w:tab w:val="left" w:pos="116"/>
          <w:tab w:val="left" w:pos="220"/>
          <w:tab w:val="left" w:pos="420"/>
        </w:tabs>
        <w:spacing w:line="540" w:lineRule="exact"/>
        <w:ind w:left="218" w:hanging="218" w:hangingChars="104"/>
        <w:jc w:val="both"/>
        <w:rPr>
          <w:rFonts w:hint="eastAsia" w:ascii="宋体" w:hAnsi="宋体" w:cs="宋体"/>
          <w:bCs/>
          <w:szCs w:val="21"/>
        </w:rPr>
      </w:pPr>
      <w:r>
        <w:rPr>
          <w:rFonts w:hint="eastAsia" w:ascii="宋体" w:hAnsi="宋体" w:cs="宋体"/>
          <w:bCs/>
          <w:szCs w:val="21"/>
        </w:rPr>
        <w:t>关于发布《中国公民中医养生保健素养》的公告</w:t>
      </w:r>
      <w:r>
        <w:rPr>
          <w:rFonts w:hint="eastAsia" w:ascii="宋体" w:hAnsi="宋体" w:cs="宋体"/>
          <w:bCs/>
          <w:szCs w:val="21"/>
          <w:lang w:eastAsia="zh-CN"/>
        </w:rPr>
        <w:t>（国中医药办发〔2014〕15号）</w:t>
      </w:r>
    </w:p>
    <w:p>
      <w:pPr>
        <w:numPr>
          <w:ilvl w:val="0"/>
          <w:numId w:val="1"/>
        </w:numPr>
        <w:tabs>
          <w:tab w:val="left" w:pos="116"/>
          <w:tab w:val="left" w:pos="220"/>
          <w:tab w:val="left" w:pos="420"/>
        </w:tabs>
        <w:spacing w:line="540" w:lineRule="exact"/>
        <w:ind w:left="218" w:hanging="218" w:hangingChars="104"/>
        <w:jc w:val="both"/>
        <w:rPr>
          <w:rFonts w:hint="eastAsia" w:ascii="宋体" w:hAnsi="宋体" w:cs="宋体"/>
          <w:bCs/>
          <w:szCs w:val="21"/>
        </w:rPr>
      </w:pPr>
      <w:r>
        <w:rPr>
          <w:rFonts w:hint="eastAsia" w:ascii="宋体" w:hAnsi="宋体" w:cs="宋体"/>
          <w:bCs/>
          <w:szCs w:val="21"/>
        </w:rPr>
        <w:t>《教育部等五部门关于全面加强和改进新时代学校卫生与健康教育工作的意见》（教体艺</w:t>
      </w:r>
    </w:p>
    <w:p>
      <w:pPr>
        <w:numPr>
          <w:ilvl w:val="0"/>
          <w:numId w:val="0"/>
        </w:numPr>
        <w:tabs>
          <w:tab w:val="left" w:pos="116"/>
          <w:tab w:val="left" w:pos="220"/>
          <w:tab w:val="left" w:pos="420"/>
        </w:tabs>
        <w:spacing w:line="540" w:lineRule="exact"/>
        <w:ind w:left="-216" w:leftChars="-103" w:firstLine="636" w:firstLineChars="303"/>
        <w:jc w:val="both"/>
        <w:rPr>
          <w:rFonts w:hint="eastAsia" w:ascii="宋体" w:hAnsi="宋体" w:cs="宋体"/>
          <w:bCs/>
          <w:szCs w:val="21"/>
        </w:rPr>
      </w:pPr>
      <w:r>
        <w:rPr>
          <w:rFonts w:hint="eastAsia" w:ascii="宋体" w:hAnsi="宋体" w:cs="宋体"/>
          <w:bCs/>
          <w:szCs w:val="21"/>
        </w:rPr>
        <w:t>〔2021〕7号）</w:t>
      </w:r>
    </w:p>
    <w:p>
      <w:pPr>
        <w:numPr>
          <w:ilvl w:val="0"/>
          <w:numId w:val="1"/>
        </w:numPr>
        <w:tabs>
          <w:tab w:val="left" w:pos="116"/>
          <w:tab w:val="left" w:pos="220"/>
          <w:tab w:val="left" w:pos="420"/>
        </w:tabs>
        <w:spacing w:line="540" w:lineRule="exact"/>
        <w:ind w:left="218" w:hanging="218" w:hangingChars="104"/>
        <w:jc w:val="both"/>
        <w:rPr>
          <w:rFonts w:hint="eastAsia" w:ascii="宋体" w:hAnsi="宋体" w:cs="宋体"/>
          <w:bCs/>
          <w:szCs w:val="21"/>
        </w:rPr>
      </w:pPr>
      <w:r>
        <w:rPr>
          <w:rFonts w:hint="eastAsia" w:ascii="宋体" w:hAnsi="宋体" w:cs="宋体"/>
          <w:bCs/>
          <w:szCs w:val="21"/>
        </w:rPr>
        <w:t>《教育部办公厅关于实施全国健康学校建设计划的通知》（教体艺厅函〔2022〕15号）</w:t>
      </w:r>
    </w:p>
    <w:p>
      <w:pPr>
        <w:numPr>
          <w:ilvl w:val="0"/>
          <w:numId w:val="1"/>
        </w:numPr>
        <w:tabs>
          <w:tab w:val="left" w:pos="116"/>
          <w:tab w:val="left" w:pos="220"/>
          <w:tab w:val="left" w:pos="420"/>
        </w:tabs>
        <w:spacing w:line="540" w:lineRule="exact"/>
        <w:ind w:left="218" w:hanging="218" w:hangingChars="104"/>
        <w:jc w:val="both"/>
        <w:rPr>
          <w:rFonts w:hint="eastAsia" w:ascii="宋体" w:hAnsi="宋体" w:cs="宋体"/>
          <w:bCs/>
          <w:szCs w:val="21"/>
        </w:rPr>
      </w:pPr>
      <w:r>
        <w:rPr>
          <w:rFonts w:hint="eastAsia" w:ascii="宋体" w:hAnsi="宋体" w:cs="宋体"/>
          <w:bCs/>
          <w:szCs w:val="21"/>
        </w:rPr>
        <w:t>教育部关于印发《生命安全与健康教育进中小学课程教材指南》的通知（教材函〔2021〕3</w:t>
      </w:r>
    </w:p>
    <w:p>
      <w:pPr>
        <w:numPr>
          <w:ilvl w:val="0"/>
          <w:numId w:val="0"/>
        </w:numPr>
        <w:tabs>
          <w:tab w:val="left" w:pos="116"/>
          <w:tab w:val="left" w:pos="220"/>
          <w:tab w:val="left" w:pos="420"/>
        </w:tabs>
        <w:spacing w:line="540" w:lineRule="exact"/>
        <w:ind w:left="-216" w:leftChars="-103" w:firstLine="636" w:firstLineChars="303"/>
        <w:jc w:val="both"/>
        <w:rPr>
          <w:rFonts w:hint="eastAsia" w:ascii="宋体" w:hAnsi="宋体" w:cs="宋体"/>
          <w:bCs/>
          <w:szCs w:val="21"/>
        </w:rPr>
      </w:pPr>
      <w:r>
        <w:rPr>
          <w:rFonts w:hint="eastAsia" w:ascii="宋体" w:hAnsi="宋体" w:cs="宋体"/>
          <w:bCs/>
          <w:szCs w:val="21"/>
        </w:rPr>
        <w:t>号）</w:t>
      </w:r>
    </w:p>
    <w:p>
      <w:pPr>
        <w:numPr>
          <w:ilvl w:val="0"/>
          <w:numId w:val="1"/>
        </w:numPr>
        <w:tabs>
          <w:tab w:val="left" w:pos="116"/>
          <w:tab w:val="left" w:pos="220"/>
          <w:tab w:val="left" w:pos="420"/>
        </w:tabs>
        <w:spacing w:line="540" w:lineRule="exact"/>
        <w:ind w:left="218" w:hanging="218" w:hangingChars="104"/>
        <w:jc w:val="both"/>
        <w:rPr>
          <w:rFonts w:hint="eastAsia" w:ascii="宋体" w:hAnsi="宋体" w:cs="宋体"/>
          <w:bCs/>
          <w:szCs w:val="21"/>
        </w:rPr>
      </w:pPr>
      <w:r>
        <w:rPr>
          <w:rFonts w:hint="eastAsia" w:ascii="宋体" w:hAnsi="宋体" w:eastAsia="宋体" w:cs="仿宋"/>
          <w:kern w:val="2"/>
          <w:sz w:val="21"/>
          <w:szCs w:val="21"/>
          <w:highlight w:val="none"/>
          <w:lang w:val="en-US" w:eastAsia="zh-CN" w:bidi="ar-SA"/>
        </w:rPr>
        <w:t>《国家卫生健康委员会 中央文明办 全国爱卫办关于加强无烟党政机关建设的通知》</w:t>
      </w:r>
      <w:r>
        <w:rPr>
          <w:rFonts w:hint="eastAsia" w:ascii="宋体" w:hAnsi="宋体" w:cs="仿宋"/>
          <w:kern w:val="2"/>
          <w:sz w:val="21"/>
          <w:szCs w:val="21"/>
          <w:highlight w:val="none"/>
          <w:lang w:val="en-US" w:eastAsia="zh-CN" w:bidi="ar-SA"/>
        </w:rPr>
        <w:t>（</w:t>
      </w:r>
      <w:r>
        <w:rPr>
          <w:rFonts w:hint="eastAsia" w:ascii="宋体" w:hAnsi="宋体" w:eastAsia="宋体" w:cs="仿宋"/>
          <w:kern w:val="2"/>
          <w:sz w:val="21"/>
          <w:szCs w:val="21"/>
          <w:highlight w:val="none"/>
          <w:lang w:val="en-US" w:eastAsia="zh-CN" w:bidi="ar-SA"/>
        </w:rPr>
        <w:t>国卫</w:t>
      </w:r>
    </w:p>
    <w:p>
      <w:pPr>
        <w:numPr>
          <w:ilvl w:val="0"/>
          <w:numId w:val="0"/>
        </w:numPr>
        <w:tabs>
          <w:tab w:val="left" w:pos="116"/>
          <w:tab w:val="left" w:pos="220"/>
          <w:tab w:val="left" w:pos="420"/>
        </w:tabs>
        <w:spacing w:line="540" w:lineRule="exact"/>
        <w:ind w:leftChars="-104" w:firstLine="630" w:firstLineChars="300"/>
        <w:jc w:val="both"/>
        <w:rPr>
          <w:rFonts w:hint="eastAsia" w:ascii="宋体" w:hAnsi="宋体" w:cs="宋体"/>
          <w:bCs/>
          <w:szCs w:val="21"/>
        </w:rPr>
      </w:pPr>
      <w:r>
        <w:rPr>
          <w:rFonts w:hint="eastAsia" w:ascii="宋体" w:hAnsi="宋体" w:eastAsia="宋体" w:cs="仿宋"/>
          <w:kern w:val="2"/>
          <w:sz w:val="21"/>
          <w:szCs w:val="21"/>
          <w:highlight w:val="none"/>
          <w:lang w:val="en-US" w:eastAsia="zh-CN" w:bidi="ar-SA"/>
        </w:rPr>
        <w:t>规划函〔2020〕175号</w:t>
      </w:r>
      <w:r>
        <w:rPr>
          <w:rFonts w:hint="eastAsia" w:ascii="宋体" w:hAnsi="宋体" w:cs="仿宋"/>
          <w:kern w:val="2"/>
          <w:sz w:val="21"/>
          <w:szCs w:val="21"/>
          <w:highlight w:val="none"/>
          <w:lang w:val="en-US" w:eastAsia="zh-CN" w:bidi="ar-SA"/>
        </w:rPr>
        <w:t>）</w:t>
      </w:r>
    </w:p>
    <w:p>
      <w:pPr>
        <w:numPr>
          <w:ilvl w:val="0"/>
          <w:numId w:val="1"/>
        </w:numPr>
        <w:tabs>
          <w:tab w:val="left" w:pos="116"/>
          <w:tab w:val="left" w:pos="220"/>
          <w:tab w:val="left" w:pos="420"/>
        </w:tabs>
        <w:spacing w:line="540" w:lineRule="exact"/>
        <w:ind w:left="218" w:hanging="218" w:hangingChars="104"/>
        <w:jc w:val="both"/>
        <w:rPr>
          <w:rFonts w:hint="eastAsia" w:ascii="宋体" w:hAnsi="宋体" w:cs="宋体"/>
          <w:bCs/>
          <w:szCs w:val="21"/>
        </w:rPr>
      </w:pPr>
      <w:r>
        <w:rPr>
          <w:rFonts w:hint="eastAsia" w:ascii="宋体" w:hAnsi="宋体" w:cs="宋体"/>
          <w:bCs/>
          <w:szCs w:val="21"/>
        </w:rPr>
        <w:t>《关于进一步加强无烟医疗卫生机构建设工作的通知》（国卫规划函〔2020〕306号）</w:t>
      </w:r>
    </w:p>
    <w:p>
      <w:pPr>
        <w:numPr>
          <w:ilvl w:val="0"/>
          <w:numId w:val="1"/>
        </w:numPr>
        <w:tabs>
          <w:tab w:val="left" w:pos="116"/>
          <w:tab w:val="left" w:pos="220"/>
          <w:tab w:val="left" w:pos="420"/>
        </w:tabs>
        <w:spacing w:line="540" w:lineRule="exact"/>
        <w:ind w:left="218" w:hanging="218" w:hangingChars="104"/>
        <w:jc w:val="both"/>
        <w:rPr>
          <w:rFonts w:hint="eastAsia" w:ascii="宋体" w:hAnsi="宋体" w:cs="宋体"/>
          <w:bCs/>
          <w:szCs w:val="21"/>
        </w:rPr>
      </w:pPr>
      <w:r>
        <w:rPr>
          <w:rFonts w:hint="eastAsia" w:ascii="宋体" w:hAnsi="宋体" w:cs="宋体"/>
          <w:bCs/>
          <w:szCs w:val="21"/>
        </w:rPr>
        <w:t>《国家卫生健康委 教育部关于进一步加强无烟学校建设工作的通知》（国卫规划函〔2020〕</w:t>
      </w:r>
    </w:p>
    <w:p>
      <w:pPr>
        <w:numPr>
          <w:ilvl w:val="0"/>
          <w:numId w:val="0"/>
        </w:numPr>
        <w:tabs>
          <w:tab w:val="left" w:pos="116"/>
          <w:tab w:val="left" w:pos="220"/>
          <w:tab w:val="left" w:pos="420"/>
        </w:tabs>
        <w:spacing w:line="540" w:lineRule="exact"/>
        <w:ind w:left="401" w:leftChars="191" w:firstLine="16" w:firstLineChars="8"/>
        <w:jc w:val="both"/>
        <w:rPr>
          <w:rFonts w:hint="eastAsia" w:ascii="宋体" w:hAnsi="宋体" w:cs="宋体"/>
          <w:bCs/>
          <w:szCs w:val="21"/>
        </w:rPr>
      </w:pPr>
      <w:r>
        <w:rPr>
          <w:rFonts w:hint="eastAsia" w:ascii="宋体" w:hAnsi="宋体" w:cs="宋体"/>
          <w:bCs/>
          <w:szCs w:val="21"/>
        </w:rPr>
        <w:t>455号）</w:t>
      </w:r>
    </w:p>
    <w:p>
      <w:pPr>
        <w:numPr>
          <w:ilvl w:val="0"/>
          <w:numId w:val="1"/>
        </w:numPr>
        <w:tabs>
          <w:tab w:val="left" w:pos="116"/>
          <w:tab w:val="left" w:pos="220"/>
          <w:tab w:val="left" w:pos="420"/>
        </w:tabs>
        <w:spacing w:line="540" w:lineRule="exact"/>
        <w:ind w:left="218" w:hanging="218" w:hangingChars="104"/>
        <w:jc w:val="both"/>
        <w:rPr>
          <w:rFonts w:hint="eastAsia" w:ascii="宋体" w:hAnsi="宋体" w:eastAsia="宋体" w:cs="宋体"/>
          <w:bCs/>
          <w:szCs w:val="21"/>
          <w:lang w:eastAsia="zh-CN"/>
        </w:rPr>
      </w:pPr>
      <w:r>
        <w:rPr>
          <w:rFonts w:hint="eastAsia" w:ascii="宋体" w:hAnsi="宋体" w:cs="宋体"/>
          <w:bCs/>
          <w:szCs w:val="21"/>
        </w:rPr>
        <w:t>《中华人民共和国广告法》</w:t>
      </w:r>
      <w:r>
        <w:rPr>
          <w:rFonts w:hint="eastAsia" w:ascii="宋体" w:hAnsi="宋体" w:cs="宋体"/>
          <w:bCs/>
          <w:szCs w:val="21"/>
          <w:lang w:eastAsia="zh-CN"/>
        </w:rPr>
        <w:t>（</w:t>
      </w:r>
      <w:r>
        <w:rPr>
          <w:rFonts w:hint="eastAsia" w:ascii="宋体" w:hAnsi="宋体" w:cs="宋体"/>
          <w:bCs/>
          <w:szCs w:val="21"/>
        </w:rPr>
        <w:t>根据2021年4月29日第十三届全国人民代表大会常务委员会</w:t>
      </w:r>
    </w:p>
    <w:p>
      <w:pPr>
        <w:numPr>
          <w:ilvl w:val="0"/>
          <w:numId w:val="0"/>
        </w:numPr>
        <w:tabs>
          <w:tab w:val="left" w:pos="116"/>
          <w:tab w:val="left" w:pos="220"/>
          <w:tab w:val="left" w:pos="420"/>
        </w:tabs>
        <w:spacing w:line="540" w:lineRule="exact"/>
        <w:ind w:leftChars="-104" w:firstLine="630" w:firstLineChars="300"/>
        <w:jc w:val="both"/>
        <w:rPr>
          <w:rFonts w:hint="eastAsia" w:ascii="宋体" w:hAnsi="宋体" w:cs="宋体"/>
          <w:bCs/>
          <w:szCs w:val="21"/>
        </w:rPr>
      </w:pPr>
      <w:r>
        <w:rPr>
          <w:rFonts w:hint="eastAsia" w:ascii="宋体" w:hAnsi="宋体" w:cs="宋体"/>
          <w:bCs/>
          <w:szCs w:val="21"/>
        </w:rPr>
        <w:t>第二十八次会议《关于修改〈中华人民共和国道路交通安全法〉等八部法律的决定》第二次</w:t>
      </w:r>
    </w:p>
    <w:p>
      <w:pPr>
        <w:numPr>
          <w:ilvl w:val="0"/>
          <w:numId w:val="0"/>
        </w:numPr>
        <w:tabs>
          <w:tab w:val="left" w:pos="116"/>
          <w:tab w:val="left" w:pos="220"/>
          <w:tab w:val="left" w:pos="420"/>
        </w:tabs>
        <w:spacing w:line="540" w:lineRule="exact"/>
        <w:ind w:leftChars="-104" w:firstLine="630" w:firstLineChars="300"/>
        <w:jc w:val="both"/>
        <w:rPr>
          <w:rFonts w:hint="eastAsia" w:ascii="宋体" w:hAnsi="宋体" w:eastAsia="宋体" w:cs="宋体"/>
          <w:bCs/>
          <w:szCs w:val="21"/>
          <w:lang w:eastAsia="zh-CN"/>
        </w:rPr>
      </w:pPr>
      <w:r>
        <w:rPr>
          <w:rFonts w:hint="eastAsia" w:ascii="宋体" w:hAnsi="宋体" w:cs="宋体"/>
          <w:bCs/>
          <w:szCs w:val="21"/>
        </w:rPr>
        <w:t>修正</w:t>
      </w:r>
      <w:r>
        <w:rPr>
          <w:rFonts w:hint="eastAsia" w:ascii="宋体" w:hAnsi="宋体" w:cs="宋体"/>
          <w:bCs/>
          <w:szCs w:val="21"/>
          <w:lang w:eastAsia="zh-CN"/>
        </w:rPr>
        <w:t>）</w:t>
      </w:r>
    </w:p>
    <w:p>
      <w:pPr>
        <w:numPr>
          <w:ilvl w:val="0"/>
          <w:numId w:val="1"/>
        </w:numPr>
        <w:tabs>
          <w:tab w:val="left" w:pos="116"/>
          <w:tab w:val="left" w:pos="220"/>
          <w:tab w:val="left" w:pos="420"/>
        </w:tabs>
        <w:spacing w:line="540" w:lineRule="exact"/>
        <w:ind w:left="218" w:hanging="218" w:hangingChars="104"/>
        <w:jc w:val="both"/>
        <w:rPr>
          <w:rFonts w:hint="eastAsia" w:ascii="宋体" w:hAnsi="宋体" w:eastAsia="宋体" w:cs="宋体"/>
          <w:bCs/>
          <w:szCs w:val="21"/>
          <w:lang w:eastAsia="zh-CN"/>
        </w:rPr>
      </w:pPr>
      <w:r>
        <w:rPr>
          <w:rFonts w:hint="eastAsia" w:ascii="宋体" w:hAnsi="宋体" w:cs="宋体"/>
          <w:bCs/>
          <w:szCs w:val="21"/>
        </w:rPr>
        <w:t>《中华人民共和国未成年人保护法》</w:t>
      </w:r>
      <w:r>
        <w:rPr>
          <w:rFonts w:hint="eastAsia" w:ascii="宋体" w:hAnsi="宋体" w:cs="宋体"/>
          <w:bCs/>
          <w:szCs w:val="21"/>
          <w:lang w:eastAsia="zh-CN"/>
        </w:rPr>
        <w:t>（</w:t>
      </w:r>
      <w:r>
        <w:rPr>
          <w:rFonts w:hint="eastAsia" w:ascii="宋体" w:hAnsi="宋体" w:cs="宋体"/>
          <w:bCs/>
          <w:szCs w:val="21"/>
        </w:rPr>
        <w:t>2020年10月17日第十三届全国人民代表大会常务</w:t>
      </w:r>
    </w:p>
    <w:p>
      <w:pPr>
        <w:numPr>
          <w:ilvl w:val="0"/>
          <w:numId w:val="0"/>
        </w:numPr>
        <w:tabs>
          <w:tab w:val="left" w:pos="116"/>
          <w:tab w:val="left" w:pos="220"/>
          <w:tab w:val="left" w:pos="420"/>
        </w:tabs>
        <w:spacing w:line="540" w:lineRule="exact"/>
        <w:ind w:leftChars="-104" w:firstLine="630" w:firstLineChars="300"/>
        <w:jc w:val="both"/>
        <w:rPr>
          <w:rFonts w:hint="eastAsia" w:ascii="宋体" w:hAnsi="宋体" w:eastAsia="宋体" w:cs="宋体"/>
          <w:bCs/>
          <w:szCs w:val="21"/>
          <w:lang w:eastAsia="zh-CN"/>
        </w:rPr>
      </w:pPr>
      <w:r>
        <w:rPr>
          <w:rFonts w:hint="eastAsia" w:ascii="宋体" w:hAnsi="宋体" w:cs="宋体"/>
          <w:bCs/>
          <w:szCs w:val="21"/>
        </w:rPr>
        <w:t>委员会第二十二次会议第二次修订</w:t>
      </w:r>
      <w:r>
        <w:rPr>
          <w:rFonts w:hint="eastAsia" w:ascii="宋体" w:hAnsi="宋体" w:cs="宋体"/>
          <w:bCs/>
          <w:szCs w:val="21"/>
          <w:lang w:eastAsia="zh-CN"/>
        </w:rPr>
        <w:t>）</w:t>
      </w:r>
    </w:p>
    <w:bookmarkEnd w:id="0"/>
    <w:p>
      <w:pPr>
        <w:bidi w:val="0"/>
        <w:rPr>
          <w:rFonts w:ascii="Calibri" w:hAnsi="Calibri" w:eastAsia="宋体" w:cs="Times New Roman"/>
          <w:szCs w:val="24"/>
        </w:rPr>
      </w:pPr>
    </w:p>
    <w:p>
      <w:pPr>
        <w:bidi w:val="0"/>
        <w:rPr>
          <w:rFonts w:ascii="Calibri" w:hAnsi="Calibri" w:eastAsia="宋体" w:cs="Times New Roman"/>
          <w:szCs w:val="24"/>
        </w:rPr>
      </w:pPr>
    </w:p>
    <w:p>
      <w:pPr>
        <w:tabs>
          <w:tab w:val="left" w:pos="6727"/>
        </w:tabs>
        <w:bidi w:val="0"/>
        <w:jc w:val="left"/>
        <w:rPr>
          <w:rFonts w:hint="eastAsia" w:ascii="Calibri" w:hAnsi="Calibri" w:eastAsia="宋体" w:cs="Times New Roman"/>
          <w:szCs w:val="24"/>
          <w:lang w:eastAsia="zh-CN"/>
        </w:rPr>
      </w:pPr>
      <w:r>
        <w:rPr>
          <w:rFonts w:hint="eastAsia" w:ascii="Calibri" w:hAnsi="Calibri" w:eastAsia="宋体" w:cs="Times New Roman"/>
          <w:szCs w:val="24"/>
          <w:lang w:eastAsia="zh-CN"/>
        </w:rPr>
        <w:tab/>
      </w:r>
    </w:p>
    <w:p>
      <w:pPr>
        <w:rPr>
          <w:rFonts w:hint="default" w:ascii="Calibri" w:hAnsi="Calibri" w:eastAsia="宋体" w:cs="Times New Roman"/>
          <w:szCs w:val="24"/>
          <w:lang w:eastAsia="zh-CN"/>
        </w:rPr>
      </w:pPr>
    </w:p>
    <w:p>
      <w:pPr>
        <w:rPr>
          <w:rFonts w:ascii="Calibri" w:hAnsi="Calibri" w:eastAsia="宋体" w:cs="Times New Roman"/>
        </w:rPr>
      </w:pPr>
    </w:p>
    <w:p/>
    <w:sectPr>
      <w:headerReference r:id="rId6" w:type="first"/>
      <w:footerReference r:id="rId9" w:type="first"/>
      <w:headerReference r:id="rId4" w:type="default"/>
      <w:footerReference r:id="rId7" w:type="default"/>
      <w:headerReference r:id="rId5" w:type="even"/>
      <w:footerReference r:id="rId8" w:type="even"/>
      <w:pgSz w:w="11906" w:h="16838"/>
      <w:pgMar w:top="1440" w:right="1571" w:bottom="1440" w:left="1571"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righ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PAGE   \* MERGEFORMAT</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zh-CN" w:eastAsia="zh-CN" w:bidi="ar-SA"/>
      </w:rPr>
      <w:t>25</w:t>
    </w:r>
    <w:r>
      <w:rPr>
        <w:rFonts w:ascii="Calibri" w:hAnsi="Calibri" w:eastAsia="宋体" w:cs="Times New Roman"/>
        <w:kern w:val="2"/>
        <w:sz w:val="18"/>
        <w:szCs w:val="18"/>
        <w:lang w:val="zh-CN" w:eastAsia="zh-CN" w:bidi="ar-SA"/>
      </w:rPr>
      <w:fldChar w:fldCharType="end"/>
    </w:r>
  </w:p>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Calibri" w:hAnsi="Calibri" w:eastAsia="宋体" w:cs="Times New Roman"/>
      </w:rPr>
    </w:pPr>
    <w:r>
      <w:rPr>
        <w:rFonts w:ascii="Calibri" w:hAnsi="Calibri" w:eastAsia="宋体" w:cs="Times New Roman"/>
      </w:rPr>
      <w:fldChar w:fldCharType="begin"/>
    </w:r>
    <w:r>
      <w:rPr>
        <w:rFonts w:ascii="Calibri" w:hAnsi="Calibri" w:eastAsia="宋体" w:cs="Times New Roman"/>
      </w:rPr>
      <w:instrText xml:space="preserve">PAGE   \* MERGEFORMAT</w:instrText>
    </w:r>
    <w:r>
      <w:rPr>
        <w:rFonts w:ascii="Calibri" w:hAnsi="Calibri" w:eastAsia="宋体" w:cs="Times New Roman"/>
      </w:rPr>
      <w:fldChar w:fldCharType="separate"/>
    </w:r>
    <w:r>
      <w:rPr>
        <w:rFonts w:ascii="Calibri" w:hAnsi="Calibri" w:eastAsia="宋体" w:cs="Times New Roman"/>
        <w:lang w:val="zh-CN"/>
      </w:rPr>
      <w:t>1</w:t>
    </w:r>
    <w:r>
      <w:rPr>
        <w:rFonts w:ascii="Calibri" w:hAnsi="Calibri" w:eastAsia="宋体" w:cs="Times New Roman"/>
      </w:rPr>
      <w:fldChar w:fldCharType="end"/>
    </w:r>
  </w:p>
  <w:p>
    <w:pPr>
      <w:pStyle w:val="3"/>
      <w:rPr>
        <w:rFonts w:ascii="Calibri" w:hAnsi="Calibri" w:eastAsia="宋体"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Calibri" w:hAnsi="Calibri" w:eastAsia="宋体" w:cs="Times New Roma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Calibri" w:hAnsi="Calibri" w:eastAsia="宋体"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rPr>
        <w:rFonts w:ascii="Calibri" w:hAnsi="Calibri" w:eastAsia="宋体"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Calibri" w:hAnsi="Calibri" w:eastAsia="宋体" w:cs="Times New Roma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Calibri" w:hAnsi="Calibri" w:eastAsia="宋体"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8666C8"/>
    <w:multiLevelType w:val="multilevel"/>
    <w:tmpl w:val="5B8666C8"/>
    <w:lvl w:ilvl="0" w:tentative="0">
      <w:start w:val="1"/>
      <w:numFmt w:val="decimal"/>
      <w:lvlText w:val="%1."/>
      <w:lvlJc w:val="left"/>
      <w:pPr>
        <w:ind w:left="420" w:hanging="420"/>
      </w:pPr>
      <w:rPr>
        <w:rFonts w:hint="eastAsia"/>
        <w:spacing w:val="0"/>
        <w:w w:val="100"/>
        <w:position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iZjAxMGM4YTQ5ZTU5MzBlMmNkNjllNTg1ZWQxNzUifQ=="/>
  </w:docVars>
  <w:rsids>
    <w:rsidRoot w:val="00172A27"/>
    <w:rsid w:val="00080821"/>
    <w:rsid w:val="0090334A"/>
    <w:rsid w:val="009B64FC"/>
    <w:rsid w:val="00C765F2"/>
    <w:rsid w:val="0161006B"/>
    <w:rsid w:val="01A069F5"/>
    <w:rsid w:val="02073EA2"/>
    <w:rsid w:val="024F1A3E"/>
    <w:rsid w:val="029D5157"/>
    <w:rsid w:val="02E517C4"/>
    <w:rsid w:val="02FD5BA1"/>
    <w:rsid w:val="036538BB"/>
    <w:rsid w:val="03821430"/>
    <w:rsid w:val="048E4C7E"/>
    <w:rsid w:val="051B12D0"/>
    <w:rsid w:val="05363558"/>
    <w:rsid w:val="05707386"/>
    <w:rsid w:val="05AE2878"/>
    <w:rsid w:val="05EF56CD"/>
    <w:rsid w:val="05F62C36"/>
    <w:rsid w:val="06365DC0"/>
    <w:rsid w:val="069C33B7"/>
    <w:rsid w:val="06B61F38"/>
    <w:rsid w:val="06DB22DD"/>
    <w:rsid w:val="07697B5C"/>
    <w:rsid w:val="08D21AFD"/>
    <w:rsid w:val="09C06583"/>
    <w:rsid w:val="0A5E1C20"/>
    <w:rsid w:val="0B6E5B6A"/>
    <w:rsid w:val="0C014219"/>
    <w:rsid w:val="0CFF33E8"/>
    <w:rsid w:val="0D326582"/>
    <w:rsid w:val="0E157D58"/>
    <w:rsid w:val="0E40351D"/>
    <w:rsid w:val="0F1B5E39"/>
    <w:rsid w:val="0FD1155B"/>
    <w:rsid w:val="10071FF2"/>
    <w:rsid w:val="102902A4"/>
    <w:rsid w:val="11AE50D2"/>
    <w:rsid w:val="1214410B"/>
    <w:rsid w:val="121E1541"/>
    <w:rsid w:val="12382FDF"/>
    <w:rsid w:val="126E7B96"/>
    <w:rsid w:val="127711FC"/>
    <w:rsid w:val="12B176A9"/>
    <w:rsid w:val="133F0F0C"/>
    <w:rsid w:val="13823891"/>
    <w:rsid w:val="1458075B"/>
    <w:rsid w:val="1482103E"/>
    <w:rsid w:val="14FC3EC5"/>
    <w:rsid w:val="15B15121"/>
    <w:rsid w:val="171B1048"/>
    <w:rsid w:val="174170AE"/>
    <w:rsid w:val="17514B68"/>
    <w:rsid w:val="18556261"/>
    <w:rsid w:val="18950A41"/>
    <w:rsid w:val="1951605F"/>
    <w:rsid w:val="1B943177"/>
    <w:rsid w:val="1BEB50AA"/>
    <w:rsid w:val="1C005B84"/>
    <w:rsid w:val="1E1F073C"/>
    <w:rsid w:val="1E692834"/>
    <w:rsid w:val="1E7F4A46"/>
    <w:rsid w:val="1E933A43"/>
    <w:rsid w:val="1EC1280B"/>
    <w:rsid w:val="1F8B2AE2"/>
    <w:rsid w:val="1FA13F25"/>
    <w:rsid w:val="209B6ACC"/>
    <w:rsid w:val="20B74248"/>
    <w:rsid w:val="21C567C6"/>
    <w:rsid w:val="21EB6ABB"/>
    <w:rsid w:val="232B62EC"/>
    <w:rsid w:val="240A1454"/>
    <w:rsid w:val="266B5728"/>
    <w:rsid w:val="26A83B0C"/>
    <w:rsid w:val="26C9722F"/>
    <w:rsid w:val="2762237B"/>
    <w:rsid w:val="277F1064"/>
    <w:rsid w:val="29051715"/>
    <w:rsid w:val="293571A6"/>
    <w:rsid w:val="29426472"/>
    <w:rsid w:val="29996CC8"/>
    <w:rsid w:val="29BD45ED"/>
    <w:rsid w:val="2B5C21E6"/>
    <w:rsid w:val="2B675EC2"/>
    <w:rsid w:val="2C3559FF"/>
    <w:rsid w:val="2CD233DA"/>
    <w:rsid w:val="2DD92044"/>
    <w:rsid w:val="2E397914"/>
    <w:rsid w:val="2E4C09B7"/>
    <w:rsid w:val="2F6B180A"/>
    <w:rsid w:val="2F7973C6"/>
    <w:rsid w:val="2F976672"/>
    <w:rsid w:val="2F984DCD"/>
    <w:rsid w:val="2FD4357B"/>
    <w:rsid w:val="30FB57E4"/>
    <w:rsid w:val="314F2E3D"/>
    <w:rsid w:val="320071DB"/>
    <w:rsid w:val="32B36906"/>
    <w:rsid w:val="33212AC8"/>
    <w:rsid w:val="33FD7BDF"/>
    <w:rsid w:val="342E4794"/>
    <w:rsid w:val="344F5B76"/>
    <w:rsid w:val="34AA364E"/>
    <w:rsid w:val="353F0A75"/>
    <w:rsid w:val="35904C8C"/>
    <w:rsid w:val="359609A8"/>
    <w:rsid w:val="35A92F7E"/>
    <w:rsid w:val="35F935D8"/>
    <w:rsid w:val="373B5490"/>
    <w:rsid w:val="37E427D9"/>
    <w:rsid w:val="38210D36"/>
    <w:rsid w:val="38D25FBB"/>
    <w:rsid w:val="39754AA3"/>
    <w:rsid w:val="39FF5EC3"/>
    <w:rsid w:val="3B2D1F1A"/>
    <w:rsid w:val="3B8D500F"/>
    <w:rsid w:val="3BF43BEA"/>
    <w:rsid w:val="3C2123AD"/>
    <w:rsid w:val="3C335155"/>
    <w:rsid w:val="3C3D2245"/>
    <w:rsid w:val="3C5A1FD1"/>
    <w:rsid w:val="3C8C4383"/>
    <w:rsid w:val="3E030F0D"/>
    <w:rsid w:val="3ED4482D"/>
    <w:rsid w:val="3ED95272"/>
    <w:rsid w:val="3FF53A9B"/>
    <w:rsid w:val="40805871"/>
    <w:rsid w:val="40CC1FDD"/>
    <w:rsid w:val="4180170D"/>
    <w:rsid w:val="424B577D"/>
    <w:rsid w:val="426D5897"/>
    <w:rsid w:val="43B42B46"/>
    <w:rsid w:val="44322272"/>
    <w:rsid w:val="444529B0"/>
    <w:rsid w:val="44DB1036"/>
    <w:rsid w:val="450F36EA"/>
    <w:rsid w:val="46121B3B"/>
    <w:rsid w:val="462C752B"/>
    <w:rsid w:val="470140C9"/>
    <w:rsid w:val="472C207C"/>
    <w:rsid w:val="472D10D6"/>
    <w:rsid w:val="474A62F2"/>
    <w:rsid w:val="475C742F"/>
    <w:rsid w:val="4778557A"/>
    <w:rsid w:val="481D44F1"/>
    <w:rsid w:val="48346E5D"/>
    <w:rsid w:val="4889645D"/>
    <w:rsid w:val="49766FAA"/>
    <w:rsid w:val="4B0B03C2"/>
    <w:rsid w:val="4B4B4455"/>
    <w:rsid w:val="4D013CFF"/>
    <w:rsid w:val="4E991A48"/>
    <w:rsid w:val="4F3E3DF3"/>
    <w:rsid w:val="505D4B74"/>
    <w:rsid w:val="522A3A8F"/>
    <w:rsid w:val="52ED002C"/>
    <w:rsid w:val="542F06E4"/>
    <w:rsid w:val="55387801"/>
    <w:rsid w:val="554B4915"/>
    <w:rsid w:val="5563538C"/>
    <w:rsid w:val="55961833"/>
    <w:rsid w:val="571A1460"/>
    <w:rsid w:val="57FE57D7"/>
    <w:rsid w:val="585A4AEB"/>
    <w:rsid w:val="59A00C76"/>
    <w:rsid w:val="5A567D2A"/>
    <w:rsid w:val="5AB46180"/>
    <w:rsid w:val="5ACD4ED8"/>
    <w:rsid w:val="5B590DC3"/>
    <w:rsid w:val="5BD67C98"/>
    <w:rsid w:val="5D754B70"/>
    <w:rsid w:val="5F14370C"/>
    <w:rsid w:val="5F955874"/>
    <w:rsid w:val="612C5D46"/>
    <w:rsid w:val="61BE2E4B"/>
    <w:rsid w:val="62B64057"/>
    <w:rsid w:val="631B64F3"/>
    <w:rsid w:val="64116D46"/>
    <w:rsid w:val="64160F95"/>
    <w:rsid w:val="648F1CFA"/>
    <w:rsid w:val="6544438D"/>
    <w:rsid w:val="661E0555"/>
    <w:rsid w:val="665B3F30"/>
    <w:rsid w:val="6666235B"/>
    <w:rsid w:val="6797708C"/>
    <w:rsid w:val="67A55622"/>
    <w:rsid w:val="67A60319"/>
    <w:rsid w:val="68110444"/>
    <w:rsid w:val="696D5784"/>
    <w:rsid w:val="6AD37515"/>
    <w:rsid w:val="6AF37D95"/>
    <w:rsid w:val="6BA41175"/>
    <w:rsid w:val="6BEFBE84"/>
    <w:rsid w:val="6C3A1A6A"/>
    <w:rsid w:val="6C4B4A1F"/>
    <w:rsid w:val="6CB36C9B"/>
    <w:rsid w:val="6D5B50DE"/>
    <w:rsid w:val="6DB15765"/>
    <w:rsid w:val="6DEE5CE3"/>
    <w:rsid w:val="6DFF3ED8"/>
    <w:rsid w:val="6F344955"/>
    <w:rsid w:val="6F844328"/>
    <w:rsid w:val="6FA9578D"/>
    <w:rsid w:val="6FB044D5"/>
    <w:rsid w:val="6FB75A30"/>
    <w:rsid w:val="70193EBC"/>
    <w:rsid w:val="703E53E8"/>
    <w:rsid w:val="70493B77"/>
    <w:rsid w:val="70B70C70"/>
    <w:rsid w:val="70C10CEB"/>
    <w:rsid w:val="717D6B2F"/>
    <w:rsid w:val="7253023D"/>
    <w:rsid w:val="731974BF"/>
    <w:rsid w:val="738D194F"/>
    <w:rsid w:val="743D5B25"/>
    <w:rsid w:val="7484232F"/>
    <w:rsid w:val="748B37A2"/>
    <w:rsid w:val="74C109E7"/>
    <w:rsid w:val="75D05D09"/>
    <w:rsid w:val="76D30018"/>
    <w:rsid w:val="77417297"/>
    <w:rsid w:val="77557E3C"/>
    <w:rsid w:val="77F94F27"/>
    <w:rsid w:val="7802639E"/>
    <w:rsid w:val="78032187"/>
    <w:rsid w:val="784C3948"/>
    <w:rsid w:val="786C0D79"/>
    <w:rsid w:val="791111FA"/>
    <w:rsid w:val="79956692"/>
    <w:rsid w:val="79FC3536"/>
    <w:rsid w:val="7A523087"/>
    <w:rsid w:val="7ADA6646"/>
    <w:rsid w:val="7C347CA5"/>
    <w:rsid w:val="7C4411B5"/>
    <w:rsid w:val="7C7370EF"/>
    <w:rsid w:val="7C9D7F46"/>
    <w:rsid w:val="7D0D5C87"/>
    <w:rsid w:val="7DC15B2B"/>
    <w:rsid w:val="7F1E6FDA"/>
    <w:rsid w:val="7F791980"/>
    <w:rsid w:val="EDB378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unhideWhenUsed/>
    <w:qFormat/>
    <w:uiPriority w:val="99"/>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paragraph" w:styleId="4">
    <w:name w:val="header"/>
    <w:basedOn w:val="1"/>
    <w:unhideWhenUsed/>
    <w:qFormat/>
    <w:uiPriority w:val="99"/>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table" w:styleId="6">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样式1"/>
    <w:qFormat/>
    <w:uiPriority w:val="0"/>
    <w:pPr>
      <w:widowControl w:val="0"/>
      <w:jc w:val="left"/>
    </w:pPr>
    <w:rPr>
      <w:rFonts w:ascii="仿宋_GB2312" w:hAnsi="Times New Roman" w:eastAsia="仿宋_GB2312"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27851</Words>
  <Characters>29643</Characters>
  <Lines>0</Lines>
  <Paragraphs>0</Paragraphs>
  <TotalTime>27</TotalTime>
  <ScaleCrop>false</ScaleCrop>
  <LinksUpToDate>false</LinksUpToDate>
  <CharactersWithSpaces>29779</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2022-11-29T01:31:00Z</dcterms:created>
  <dc:creator>xiajing01</dc:creator>
  <cp:lastModifiedBy>greatwall</cp:lastModifiedBy>
  <dcterms:modified xsi:type="dcterms:W3CDTF">2023-04-20T09:37:51Z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E8EF366D6E1143749B6187A7928D8340</vt:lpwstr>
  </property>
</Properties>
</file>