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bidi="ar"/>
        </w:rPr>
        <w:t>1</w:t>
      </w:r>
    </w:p>
    <w:p>
      <w:pPr>
        <w:spacing w:line="600" w:lineRule="exact"/>
        <w:jc w:val="center"/>
        <w:rPr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部门整体支出绩效目标表</w:t>
      </w:r>
    </w:p>
    <w:p>
      <w:pPr>
        <w:spacing w:line="420" w:lineRule="exact"/>
        <w:jc w:val="center"/>
      </w:pP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bidi="ar"/>
        </w:rPr>
        <w:t xml:space="preserve">（ </w:t>
      </w: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val="en-US" w:eastAsia="zh-CN" w:bidi="ar"/>
        </w:rPr>
        <w:t>2022</w:t>
      </w:r>
      <w:r>
        <w:rPr>
          <w:rFonts w:hint="eastAsia" w:ascii="楷体" w:hAnsi="楷体" w:eastAsia="楷体" w:cs="楷体"/>
          <w:color w:val="000000"/>
          <w:kern w:val="0"/>
          <w:sz w:val="28"/>
          <w:szCs w:val="28"/>
          <w:lang w:bidi="ar"/>
        </w:rPr>
        <w:t>年度）</w:t>
      </w:r>
    </w:p>
    <w:p>
      <w:pPr>
        <w:spacing w:line="420" w:lineRule="exact"/>
        <w:ind w:right="-218" w:rightChars="-104"/>
      </w:pP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填报单位名称： </w:t>
      </w:r>
      <w:r>
        <w:rPr>
          <w:rFonts w:hint="eastAsia" w:ascii="宋体" w:hAnsi="宋体" w:cs="宋体"/>
          <w:color w:val="000000"/>
          <w:kern w:val="0"/>
          <w:szCs w:val="21"/>
          <w:lang w:eastAsia="zh-CN" w:bidi="ar"/>
        </w:rPr>
        <w:t>衡阳县井头镇人民政府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 xml:space="preserve">                     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 w:bidi="ar"/>
        </w:rPr>
        <w:t xml:space="preserve">          </w:t>
      </w:r>
      <w:r>
        <w:rPr>
          <w:rFonts w:hint="eastAsia" w:ascii="宋体" w:hAnsi="宋体" w:cs="宋体"/>
          <w:color w:val="000000"/>
          <w:kern w:val="0"/>
          <w:szCs w:val="21"/>
          <w:lang w:bidi="ar"/>
        </w:rPr>
        <w:t>金额单位：万元</w:t>
      </w:r>
    </w:p>
    <w:tbl>
      <w:tblPr>
        <w:tblStyle w:val="2"/>
        <w:tblW w:w="16410" w:type="dxa"/>
        <w:tblInd w:w="-69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780"/>
        <w:gridCol w:w="418"/>
        <w:gridCol w:w="377"/>
        <w:gridCol w:w="1162"/>
        <w:gridCol w:w="353"/>
        <w:gridCol w:w="1320"/>
        <w:gridCol w:w="1485"/>
        <w:gridCol w:w="197"/>
        <w:gridCol w:w="823"/>
        <w:gridCol w:w="776"/>
        <w:gridCol w:w="559"/>
        <w:gridCol w:w="1185"/>
        <w:gridCol w:w="3381"/>
        <w:gridCol w:w="29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Cs w:val="21"/>
                <w:lang w:bidi="ar"/>
              </w:rPr>
              <w:t>部门基本信息</w:t>
            </w:r>
          </w:p>
        </w:tc>
        <w:tc>
          <w:tcPr>
            <w:tcW w:w="30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人员编制数</w:t>
            </w:r>
          </w:p>
        </w:tc>
        <w:tc>
          <w:tcPr>
            <w:tcW w:w="51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实有在职人数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离退休人数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行政编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事业编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编制人数合计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行政编人数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事业编人数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编外人数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在职人数合计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55</w:t>
            </w:r>
          </w:p>
        </w:tc>
        <w:tc>
          <w:tcPr>
            <w:tcW w:w="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88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143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77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346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单位职能概述</w:t>
            </w:r>
          </w:p>
        </w:tc>
        <w:tc>
          <w:tcPr>
            <w:tcW w:w="78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①贯彻执行法律政策，不断推进民主建设；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②加快发展农村经济，切实增加农民收入；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③推行政务公开，扩大农民的知情权与参与权；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④提高社会管理水平，创造良好发展环境，规范农村集体经济管理，推进政务、村务公开；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⑤抓好人口和计划生育工作，保障妇女、儿童合法权益；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⑥抓好安全生产和公共安全管理，及时上报和处理重大社情、疫情、险情，保障人民生命财产安全；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⑦积极发展公益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业，提供公共服务保障；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⑧大力加强综合治理，有效维护社会稳定。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Cs w:val="21"/>
                <w:lang w:bidi="ar"/>
              </w:rPr>
              <w:t>年度预算申请</w:t>
            </w:r>
          </w:p>
        </w:tc>
        <w:tc>
          <w:tcPr>
            <w:tcW w:w="30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630" w:firstLineChars="300"/>
              <w:jc w:val="both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年度收入预算</w:t>
            </w:r>
          </w:p>
        </w:tc>
        <w:tc>
          <w:tcPr>
            <w:tcW w:w="63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100" w:firstLineChars="1000"/>
              <w:jc w:val="both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年度支出预算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2404.59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合计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2404.59</w:t>
            </w:r>
          </w:p>
        </w:tc>
        <w:tc>
          <w:tcPr>
            <w:tcW w:w="35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其中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“三公经费”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一般公共预算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1834.87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基本支出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1088.02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合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12.43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政府性基金拨款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人员经费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1068.62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公务接待费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10.23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68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纳入专户管理的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非税收入拨款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00" w:firstLineChars="200"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公用经费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59.41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公务用车运行和购置费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2.20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其他资金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项目支出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lang w:val="en-US" w:eastAsia="zh-CN"/>
              </w:rPr>
              <w:t>1316.56</w:t>
            </w: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因公出国（境）费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上年结转结余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Cs w:val="21"/>
                <w:lang w:val="en-US" w:eastAsia="zh-CN"/>
              </w:rPr>
              <w:t>569.72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3025" w:hRule="exac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Cs w:val="21"/>
                <w:lang w:bidi="ar"/>
              </w:rPr>
              <w:t xml:space="preserve">整体绩效目标  </w:t>
            </w:r>
          </w:p>
        </w:tc>
        <w:tc>
          <w:tcPr>
            <w:tcW w:w="943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在本年度收支预算内，确保完成以下整体目标：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目标1：保障人员支出和单位正常运转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目标2：严格按照财务规章制度做好各项支出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 w:bidi="ar"/>
              </w:rPr>
              <w:t>目标3：加强财务监督，杜绝不合理开支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415" w:hRule="exac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Cs w:val="21"/>
                <w:lang w:bidi="ar"/>
              </w:rPr>
              <w:t>年度绩效指标</w:t>
            </w: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Cs w:val="21"/>
                <w:lang w:bidi="ar"/>
              </w:rPr>
              <w:t xml:space="preserve">部门整体支出    </w:t>
            </w:r>
          </w:p>
        </w:tc>
        <w:tc>
          <w:tcPr>
            <w:tcW w:w="1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一级指标</w:t>
            </w:r>
          </w:p>
        </w:tc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二级指标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三级指标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指标值及单位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4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产出指标</w:t>
            </w:r>
          </w:p>
        </w:tc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数量指标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1、重点项目建设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办公室修缮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43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落实粮食生产战略村社区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32个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29个村、3个社区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4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扶持村集体经济发展，巩固脱贫攻坚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38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质量指标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1、镇办公室修缮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验收合格率</w:t>
            </w: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40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2、大力发展双季稻、同比增加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10%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41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3、杜绝返贫，乡村振兴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返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贫率0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37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时效指标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Hans" w:bidi="ar"/>
              </w:rPr>
              <w:t>工作完成及时率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42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成本指标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1、严格执行预算，节约成本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不突破预算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8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2、控制三公经费支出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≤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39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效益指标</w:t>
            </w:r>
          </w:p>
        </w:tc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经济效益指标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1、降低运输成本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25%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2、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农民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val="en-US" w:eastAsia="zh-Hans" w:bidi="ar"/>
              </w:rPr>
              <w:t>收入水平提升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5000/人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32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3、村级集体经济增收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2万元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社会效益指标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1、村民出行效率、道路、饮水安全提高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30%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2、农户劳动获得感增强、生活水平提高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50%、</w:t>
            </w: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3、社会稳定、生活生产安全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良好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生态效益指标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1、以新农村建设为重点，推进生态建设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2、开展群众性爱国卫生活动、美化环境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90%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可持续影响指标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政府服务职能增强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≥20%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51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2、坚持统筹城乡发展、稳步发展战略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≥20%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400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社会公众或服务对象满意度指标</w:t>
            </w: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1、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  <w:highlight w:val="none"/>
                <w:lang w:val="en-US" w:eastAsia="zh-Hans"/>
              </w:rPr>
              <w:t>人民群众满意度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6345" w:type="dxa"/>
          <w:trHeight w:val="355" w:hRule="exac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5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3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Hans"/>
              </w:rPr>
              <w:t>社会满意度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 w:val="18"/>
                <w:szCs w:val="18"/>
                <w:lang w:val="en-US" w:eastAsia="zh-CN"/>
              </w:rPr>
              <w:t>≥95%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exac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/>
                <w:color w:val="000000"/>
                <w:kern w:val="0"/>
                <w:szCs w:val="21"/>
                <w:lang w:bidi="ar"/>
              </w:rPr>
              <w:t>其他需说明的问题</w:t>
            </w:r>
          </w:p>
        </w:tc>
        <w:tc>
          <w:tcPr>
            <w:tcW w:w="943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firstLine="211" w:firstLineChars="100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无</w:t>
            </w:r>
            <w:bookmarkEnd w:id="0"/>
          </w:p>
        </w:tc>
        <w:tc>
          <w:tcPr>
            <w:tcW w:w="3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财政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绩效评价股审核意见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39B49B"/>
    <w:multiLevelType w:val="singleLevel"/>
    <w:tmpl w:val="6239B49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5Mjg4YzJlNzFhYzQyOTYyOWQ2MWQ2MzczNjVhODAifQ=="/>
  </w:docVars>
  <w:rsids>
    <w:rsidRoot w:val="00000000"/>
    <w:rsid w:val="6BE02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2022-04-29T00:41:10Z</dcterms:created>
  <dc:creator>Administrator</dc:creator>
  <cp:lastModifiedBy>波斯纳</cp:lastModifiedBy>
  <dcterms:modified xsi:type="dcterms:W3CDTF">2022-04-29T00:42:25Z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B7F12DCD737D4930A7266B59A821BC28</vt:lpwstr>
  </property>
</Properties>
</file>