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2" w:lineRule="auto"/>
        <w:rPr>
          <w:rFonts w:ascii="Microsoft JhengHei"/>
          <w:sz w:val="21"/>
        </w:rPr>
      </w:pPr>
    </w:p>
    <w:p>
      <w:pPr>
        <w:spacing w:before="104" w:line="192" w:lineRule="auto"/>
        <w:ind w:firstLine="663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12"/>
          <w:sz w:val="32"/>
          <w:szCs w:val="32"/>
        </w:rPr>
        <w:t>附件：1.</w:t>
      </w:r>
      <w:r>
        <w:rPr>
          <w:rFonts w:hint="eastAsia" w:ascii="楷体" w:hAnsi="楷体" w:eastAsia="楷体" w:cs="楷体"/>
          <w:spacing w:val="-12"/>
          <w:sz w:val="32"/>
          <w:szCs w:val="32"/>
          <w:lang w:eastAsia="zh-CN"/>
        </w:rPr>
        <w:t>长安乡</w:t>
      </w:r>
      <w:r>
        <w:rPr>
          <w:rFonts w:ascii="楷体" w:hAnsi="楷体" w:eastAsia="楷体" w:cs="楷体"/>
          <w:spacing w:val="-12"/>
          <w:sz w:val="32"/>
          <w:szCs w:val="32"/>
        </w:rPr>
        <w:t>城乡治理标准化体系图</w:t>
      </w:r>
    </w:p>
    <w:p>
      <w:pPr>
        <w:spacing w:before="226" w:line="192" w:lineRule="auto"/>
        <w:ind w:firstLine="160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1"/>
          <w:sz w:val="32"/>
          <w:szCs w:val="32"/>
        </w:rPr>
        <w:t>2.</w:t>
      </w:r>
      <w:r>
        <w:rPr>
          <w:rFonts w:hint="eastAsia" w:ascii="楷体" w:hAnsi="楷体" w:eastAsia="楷体" w:cs="楷体"/>
          <w:spacing w:val="-1"/>
          <w:sz w:val="32"/>
          <w:szCs w:val="32"/>
          <w:lang w:eastAsia="zh-CN"/>
        </w:rPr>
        <w:t>长安乡</w:t>
      </w:r>
      <w:r>
        <w:rPr>
          <w:rFonts w:ascii="楷体" w:hAnsi="楷体" w:eastAsia="楷体" w:cs="楷体"/>
          <w:spacing w:val="-1"/>
          <w:sz w:val="32"/>
          <w:szCs w:val="32"/>
        </w:rPr>
        <w:t>城乡治理标准化标准内容</w:t>
      </w:r>
    </w:p>
    <w:p>
      <w:pPr>
        <w:spacing w:before="228" w:line="192" w:lineRule="auto"/>
        <w:ind w:firstLine="1603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ascii="楷体" w:hAnsi="楷体" w:eastAsia="楷体" w:cs="楷体"/>
          <w:spacing w:val="-11"/>
          <w:sz w:val="32"/>
          <w:szCs w:val="32"/>
        </w:rPr>
        <w:t>3.</w:t>
      </w:r>
      <w:r>
        <w:rPr>
          <w:rFonts w:hint="eastAsia" w:ascii="楷体" w:hAnsi="楷体" w:eastAsia="楷体" w:cs="楷体"/>
          <w:spacing w:val="-11"/>
          <w:sz w:val="32"/>
          <w:szCs w:val="32"/>
          <w:lang w:eastAsia="zh-CN"/>
        </w:rPr>
        <w:t>长安乡</w:t>
      </w:r>
      <w:r>
        <w:rPr>
          <w:rFonts w:ascii="楷体" w:hAnsi="楷体" w:eastAsia="楷体" w:cs="楷体"/>
          <w:spacing w:val="-11"/>
          <w:sz w:val="32"/>
          <w:szCs w:val="32"/>
        </w:rPr>
        <w:t>城乡治理标准化工作</w:t>
      </w:r>
      <w:r>
        <w:rPr>
          <w:rFonts w:hint="eastAsia" w:ascii="楷体" w:hAnsi="楷体" w:eastAsia="楷体" w:cs="楷体"/>
          <w:spacing w:val="-11"/>
          <w:sz w:val="32"/>
          <w:szCs w:val="32"/>
          <w:lang w:eastAsia="zh-CN"/>
        </w:rPr>
        <w:t>台账</w:t>
      </w:r>
    </w:p>
    <w:p>
      <w:pPr>
        <w:sectPr>
          <w:footerReference r:id="rId5" w:type="default"/>
          <w:pgSz w:w="11906" w:h="16839"/>
          <w:pgMar w:top="1431" w:right="1614" w:bottom="1613" w:left="1483" w:header="0" w:footer="1420" w:gutter="0"/>
          <w:cols w:space="720" w:num="1"/>
        </w:sectPr>
      </w:pPr>
    </w:p>
    <w:p>
      <w:pPr>
        <w:spacing w:line="474" w:lineRule="auto"/>
        <w:rPr>
          <w:rFonts w:ascii="Microsoft JhengHei"/>
          <w:sz w:val="21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page">
                  <wp:posOffset>874395</wp:posOffset>
                </wp:positionH>
                <wp:positionV relativeFrom="page">
                  <wp:posOffset>4382135</wp:posOffset>
                </wp:positionV>
                <wp:extent cx="244475" cy="2894330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475" cy="2894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20" w:line="192" w:lineRule="auto"/>
                              <w:ind w:firstLine="20"/>
                              <w:rPr>
                                <w:rFonts w:ascii="黑体" w:hAnsi="黑体" w:eastAsia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pacing w:val="2"/>
                                <w:sz w:val="32"/>
                                <w:szCs w:val="32"/>
                                <w:lang w:eastAsia="zh-CN"/>
                              </w:rPr>
                              <w:t>长安乡</w:t>
                            </w:r>
                            <w:r>
                              <w:rPr>
                                <w:rFonts w:ascii="黑体" w:hAnsi="黑体" w:eastAsia="黑体" w:cs="黑体"/>
                                <w:spacing w:val="2"/>
                                <w:sz w:val="32"/>
                                <w:szCs w:val="32"/>
                              </w:rPr>
                              <w:t>城乡治理标准化标准体系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8.85pt;margin-top:345.05pt;height:227.9pt;width:19.25pt;mso-position-horizontal-relative:page;mso-position-vertical-relative:page;z-index:251662336;mso-width-relative:page;mso-height-relative:page;" filled="f" stroked="f" coordsize="21600,21600" o:allowincell="f" o:gfxdata="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BaxkcHZAAAADAEAAA8AAAAAAAAAAQAgAAAAIgAAAGRycy9kb3du&#10;cmV2LnhtbFBLAQIUABQAAAAIAIdO4kBQ0Y3OxQEAAIIDAAAOAAAAAAAAAAEAIAAAACgBAABkcnMv&#10;ZTJvRG9jLnhtbFBLBQYAAAAABgAGAFkBAABfBQAAAAA=&#10;">
                <v:fill on="f" focussize="0,0"/>
                <v:stroke on="f"/>
                <v:imagedata o:title=""/>
                <o:lock v:ext="edit" aspectratio="f"/>
                <v:textbox inset="0mm,0mm,0mm,0mm" style="layout-flow:vertical-ideographic;">
                  <w:txbxContent>
                    <w:p>
                      <w:pPr>
                        <w:spacing w:before="20" w:line="192" w:lineRule="auto"/>
                        <w:ind w:firstLine="20"/>
                        <w:rPr>
                          <w:rFonts w:ascii="黑体" w:hAnsi="黑体" w:eastAsia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pacing w:val="2"/>
                          <w:sz w:val="32"/>
                          <w:szCs w:val="32"/>
                          <w:lang w:eastAsia="zh-CN"/>
                        </w:rPr>
                        <w:t>长安乡</w:t>
                      </w:r>
                      <w:r>
                        <w:rPr>
                          <w:rFonts w:ascii="黑体" w:hAnsi="黑体" w:eastAsia="黑体" w:cs="黑体"/>
                          <w:spacing w:val="2"/>
                          <w:sz w:val="32"/>
                          <w:szCs w:val="32"/>
                        </w:rPr>
                        <w:t>城乡治理标准化标准体系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page">
                  <wp:posOffset>2449195</wp:posOffset>
                </wp:positionH>
                <wp:positionV relativeFrom="page">
                  <wp:posOffset>7134225</wp:posOffset>
                </wp:positionV>
                <wp:extent cx="1303655" cy="183515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3655" cy="183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20" w:line="208" w:lineRule="auto"/>
                              <w:ind w:firstLine="20"/>
                              <w:rPr>
                                <w:rFonts w:ascii="黑体" w:hAnsi="黑体" w:eastAsia="黑体" w:cs="黑体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0D0D0D"/>
                                <w:spacing w:val="-10"/>
                                <w:w w:val="97"/>
                                <w:sz w:val="22"/>
                                <w:szCs w:val="22"/>
                              </w:rPr>
                              <w:t>4</w:t>
                            </w:r>
                            <w:r>
                              <w:rPr>
                                <w:rFonts w:ascii="黑体" w:hAnsi="黑体" w:eastAsia="黑体" w:cs="黑体"/>
                                <w:color w:val="0D0D0D"/>
                                <w:spacing w:val="-10"/>
                                <w:w w:val="97"/>
                                <w:sz w:val="22"/>
                                <w:szCs w:val="22"/>
                              </w:rPr>
                              <w:t>.市场经营治理标准化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2.85pt;margin-top:561.75pt;height:14.45pt;width:102.65pt;mso-position-horizontal-relative:page;mso-position-vertical-relative:page;z-index:251663360;mso-width-relative:page;mso-height-relative:page;" filled="f" stroked="f" coordsize="21600,21600" o:allowincell="f" o:gfxdata="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JTt4b2wAAAA0BAAAPAAAAAAAAAAEAIAAAACIAAABkcnMvZG93bnJldi54bWxQ&#10;SwECFAAUAAAACACHTuJAANDSh7sBAAB0AwAADgAAAAAAAAABACAAAAAq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line="208" w:lineRule="auto"/>
                        <w:ind w:firstLine="20"/>
                        <w:rPr>
                          <w:rFonts w:ascii="黑体" w:hAnsi="黑体" w:eastAsia="黑体" w:cs="黑体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color w:val="0D0D0D"/>
                          <w:spacing w:val="-10"/>
                          <w:w w:val="97"/>
                          <w:sz w:val="22"/>
                          <w:szCs w:val="22"/>
                        </w:rPr>
                        <w:t>4</w:t>
                      </w:r>
                      <w:r>
                        <w:rPr>
                          <w:rFonts w:ascii="黑体" w:hAnsi="黑体" w:eastAsia="黑体" w:cs="黑体"/>
                          <w:color w:val="0D0D0D"/>
                          <w:spacing w:val="-10"/>
                          <w:w w:val="97"/>
                          <w:sz w:val="22"/>
                          <w:szCs w:val="22"/>
                        </w:rPr>
                        <w:t>.市场经营治理标准化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page">
                  <wp:posOffset>2507615</wp:posOffset>
                </wp:positionH>
                <wp:positionV relativeFrom="page">
                  <wp:posOffset>5031105</wp:posOffset>
                </wp:positionV>
                <wp:extent cx="1109345" cy="183515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9345" cy="183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20" w:line="208" w:lineRule="auto"/>
                              <w:ind w:firstLine="20"/>
                              <w:rPr>
                                <w:rFonts w:ascii="黑体" w:hAnsi="黑体" w:eastAsia="黑体" w:cs="黑体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0D0D0D"/>
                                <w:spacing w:val="-6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ascii="黑体" w:hAnsi="黑体" w:eastAsia="黑体" w:cs="黑体"/>
                                <w:color w:val="0D0D0D"/>
                                <w:spacing w:val="-6"/>
                                <w:sz w:val="22"/>
                                <w:szCs w:val="22"/>
                              </w:rPr>
                              <w:t>.乡村治理标准化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7.45pt;margin-top:396.15pt;height:14.45pt;width:87.35pt;mso-position-horizontal-relative:page;mso-position-vertical-relative:page;z-index:251665408;mso-width-relative:page;mso-height-relative:page;" filled="f" stroked="f" coordsize="21600,21600" o:allowincell="f" o:gfxdata="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Osx1EtsAAAALAQAADwAAAAAAAAABACAAAAAiAAAAZHJzL2Rvd25yZXYueG1s&#10;UEsBAhQAFAAAAAgAh07iQG/L5Ma8AQAAdAMAAA4AAAAAAAAAAQAgAAAAKgEAAGRycy9lMm9Eb2Mu&#10;eG1sUEsFBgAAAAAGAAYAWQEAAFg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line="208" w:lineRule="auto"/>
                        <w:ind w:firstLine="20"/>
                        <w:rPr>
                          <w:rFonts w:ascii="黑体" w:hAnsi="黑体" w:eastAsia="黑体" w:cs="黑体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color w:val="0D0D0D"/>
                          <w:spacing w:val="-6"/>
                          <w:sz w:val="22"/>
                          <w:szCs w:val="22"/>
                        </w:rPr>
                        <w:t>2</w:t>
                      </w:r>
                      <w:r>
                        <w:rPr>
                          <w:rFonts w:ascii="黑体" w:hAnsi="黑体" w:eastAsia="黑体" w:cs="黑体"/>
                          <w:color w:val="0D0D0D"/>
                          <w:spacing w:val="-6"/>
                          <w:sz w:val="22"/>
                          <w:szCs w:val="22"/>
                        </w:rPr>
                        <w:t>.乡村治理标准化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page">
                  <wp:posOffset>2496820</wp:posOffset>
                </wp:positionH>
                <wp:positionV relativeFrom="page">
                  <wp:posOffset>6186170</wp:posOffset>
                </wp:positionV>
                <wp:extent cx="1106805" cy="183515"/>
                <wp:effectExtent l="0" t="0" r="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6805" cy="183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20" w:line="208" w:lineRule="auto"/>
                              <w:ind w:firstLine="20"/>
                              <w:rPr>
                                <w:rFonts w:ascii="黑体" w:hAnsi="黑体" w:eastAsia="黑体" w:cs="黑体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0D0D0D"/>
                                <w:spacing w:val="-7"/>
                                <w:sz w:val="22"/>
                                <w:szCs w:val="22"/>
                              </w:rPr>
                              <w:t>3</w:t>
                            </w:r>
                            <w:r>
                              <w:rPr>
                                <w:rFonts w:ascii="黑体" w:hAnsi="黑体" w:eastAsia="黑体" w:cs="黑体"/>
                                <w:color w:val="0D0D0D"/>
                                <w:spacing w:val="-7"/>
                                <w:sz w:val="22"/>
                                <w:szCs w:val="22"/>
                              </w:rPr>
                              <w:t>.交通治理标准化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6.6pt;margin-top:487.1pt;height:14.45pt;width:87.15pt;mso-position-horizontal-relative:page;mso-position-vertical-relative:page;z-index:251666432;mso-width-relative:page;mso-height-relative:page;" filled="f" stroked="f" coordsize="21600,21600" o:allowincell="f" o:gfxdata="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xIlNK2wAAAAwBAAAPAAAAAAAAAAEAIAAAACIAAABkcnMvZG93bnJldi54bWxQ&#10;SwECFAAUAAAACACHTuJAy6IjarsBAAB0AwAADgAAAAAAAAABACAAAAAq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line="208" w:lineRule="auto"/>
                        <w:ind w:firstLine="20"/>
                        <w:rPr>
                          <w:rFonts w:ascii="黑体" w:hAnsi="黑体" w:eastAsia="黑体" w:cs="黑体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color w:val="0D0D0D"/>
                          <w:spacing w:val="-7"/>
                          <w:sz w:val="22"/>
                          <w:szCs w:val="22"/>
                        </w:rPr>
                        <w:t>3</w:t>
                      </w:r>
                      <w:r>
                        <w:rPr>
                          <w:rFonts w:ascii="黑体" w:hAnsi="黑体" w:eastAsia="黑体" w:cs="黑体"/>
                          <w:color w:val="0D0D0D"/>
                          <w:spacing w:val="-7"/>
                          <w:sz w:val="22"/>
                          <w:szCs w:val="22"/>
                        </w:rPr>
                        <w:t>.交通治理标准化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3802380</wp:posOffset>
            </wp:positionH>
            <wp:positionV relativeFrom="page">
              <wp:posOffset>5137785</wp:posOffset>
            </wp:positionV>
            <wp:extent cx="984885" cy="55880"/>
            <wp:effectExtent l="0" t="0" r="5715" b="127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84973" cy="56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page">
                  <wp:posOffset>2467610</wp:posOffset>
                </wp:positionH>
                <wp:positionV relativeFrom="page">
                  <wp:posOffset>3450590</wp:posOffset>
                </wp:positionV>
                <wp:extent cx="1096010" cy="183515"/>
                <wp:effectExtent l="0" t="0" r="0" b="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6010" cy="183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20" w:line="208" w:lineRule="auto"/>
                              <w:ind w:firstLine="20"/>
                              <w:rPr>
                                <w:rFonts w:ascii="黑体" w:hAnsi="黑体" w:eastAsia="黑体" w:cs="黑体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0D0D0D"/>
                                <w:spacing w:val="-9"/>
                                <w:sz w:val="22"/>
                                <w:szCs w:val="22"/>
                              </w:rPr>
                              <w:t>1</w:t>
                            </w:r>
                            <w:r>
                              <w:rPr>
                                <w:rFonts w:ascii="黑体" w:hAnsi="黑体" w:eastAsia="黑体" w:cs="黑体"/>
                                <w:color w:val="0D0D0D"/>
                                <w:spacing w:val="-9"/>
                                <w:sz w:val="22"/>
                                <w:szCs w:val="22"/>
                              </w:rPr>
                              <w:t>.城区治理标准化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4.3pt;margin-top:271.7pt;height:14.45pt;width:86.3pt;mso-position-horizontal-relative:page;mso-position-vertical-relative:page;z-index:251667456;mso-width-relative:page;mso-height-relative:page;" filled="f" stroked="f" coordsize="21600,21600" o:allowincell="f" o:gfxdata="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CvIDRl2wAAAAsBAAAPAAAAAAAAAAEAIAAAACIAAABkcnMvZG93bnJldi54bWxQ&#10;SwECFAAUAAAACACHTuJAWCPLPLsBAAB0AwAADgAAAAAAAAABACAAAAAq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line="208" w:lineRule="auto"/>
                        <w:ind w:firstLine="20"/>
                        <w:rPr>
                          <w:rFonts w:ascii="黑体" w:hAnsi="黑体" w:eastAsia="黑体" w:cs="黑体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color w:val="0D0D0D"/>
                          <w:spacing w:val="-9"/>
                          <w:sz w:val="22"/>
                          <w:szCs w:val="22"/>
                        </w:rPr>
                        <w:t>1</w:t>
                      </w:r>
                      <w:r>
                        <w:rPr>
                          <w:rFonts w:ascii="黑体" w:hAnsi="黑体" w:eastAsia="黑体" w:cs="黑体"/>
                          <w:color w:val="0D0D0D"/>
                          <w:spacing w:val="-9"/>
                          <w:sz w:val="22"/>
                          <w:szCs w:val="22"/>
                        </w:rPr>
                        <w:t>.城区治理标准化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3791585</wp:posOffset>
            </wp:positionH>
            <wp:positionV relativeFrom="page">
              <wp:posOffset>3554095</wp:posOffset>
            </wp:positionV>
            <wp:extent cx="1005840" cy="51435"/>
            <wp:effectExtent l="0" t="0" r="3810" b="5715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05738" cy="513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page">
                  <wp:posOffset>2454910</wp:posOffset>
                </wp:positionH>
                <wp:positionV relativeFrom="page">
                  <wp:posOffset>8412480</wp:posOffset>
                </wp:positionV>
                <wp:extent cx="1294765" cy="183515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4765" cy="183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20" w:line="208" w:lineRule="auto"/>
                              <w:ind w:firstLine="20"/>
                              <w:rPr>
                                <w:rFonts w:ascii="黑体" w:hAnsi="黑体" w:eastAsia="黑体" w:cs="黑体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0D0D0D"/>
                                <w:spacing w:val="-10"/>
                                <w:w w:val="96"/>
                                <w:sz w:val="22"/>
                                <w:szCs w:val="22"/>
                              </w:rPr>
                              <w:t>5</w:t>
                            </w:r>
                            <w:r>
                              <w:rPr>
                                <w:rFonts w:ascii="黑体" w:hAnsi="黑体" w:eastAsia="黑体" w:cs="黑体"/>
                                <w:color w:val="0D0D0D"/>
                                <w:spacing w:val="-10"/>
                                <w:w w:val="96"/>
                                <w:sz w:val="22"/>
                                <w:szCs w:val="22"/>
                              </w:rPr>
                              <w:t>.公共安全治理标准化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3.3pt;margin-top:662.4pt;height:14.45pt;width:101.95pt;mso-position-horizontal-relative:page;mso-position-vertical-relative:page;z-index:251664384;mso-width-relative:page;mso-height-relative:page;" filled="f" stroked="f" coordsize="21600,21600" o:allowincell="f" o:gfxdata="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REFfU2wAAAA0BAAAPAAAAAAAAAAEAIAAAACIAAABkcnMvZG93bnJldi54bWxQ&#10;SwECFAAUAAAACACHTuJA+fG3wbsBAAB0AwAADgAAAAAAAAABACAAAAAq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line="208" w:lineRule="auto"/>
                        <w:ind w:firstLine="20"/>
                        <w:rPr>
                          <w:rFonts w:ascii="黑体" w:hAnsi="黑体" w:eastAsia="黑体" w:cs="黑体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color w:val="0D0D0D"/>
                          <w:spacing w:val="-10"/>
                          <w:w w:val="96"/>
                          <w:sz w:val="22"/>
                          <w:szCs w:val="22"/>
                        </w:rPr>
                        <w:t>5</w:t>
                      </w:r>
                      <w:r>
                        <w:rPr>
                          <w:rFonts w:ascii="黑体" w:hAnsi="黑体" w:eastAsia="黑体" w:cs="黑体"/>
                          <w:color w:val="0D0D0D"/>
                          <w:spacing w:val="-10"/>
                          <w:w w:val="96"/>
                          <w:sz w:val="22"/>
                          <w:szCs w:val="22"/>
                        </w:rPr>
                        <w:t>.公共安全治理标准化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3787775</wp:posOffset>
            </wp:positionH>
            <wp:positionV relativeFrom="page">
              <wp:posOffset>8536305</wp:posOffset>
            </wp:positionV>
            <wp:extent cx="1057275" cy="45720"/>
            <wp:effectExtent l="0" t="0" r="9525" b="1143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57008" cy="456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11"/>
          <w:sz w:val="32"/>
          <w:szCs w:val="32"/>
        </w:rPr>
        <w:t>附件1</w:t>
      </w:r>
    </w:p>
    <w:p>
      <w:pPr>
        <w:spacing w:before="191" w:line="180" w:lineRule="auto"/>
        <w:ind w:firstLine="735"/>
        <w:rPr>
          <w:rFonts w:ascii="Microsoft JhengHei" w:hAnsi="Microsoft JhengHei" w:eastAsia="Microsoft JhengHei" w:cs="Microsoft JhengHei"/>
          <w:sz w:val="44"/>
          <w:szCs w:val="44"/>
        </w:rPr>
      </w:pPr>
      <w:r>
        <w:rPr>
          <w:rFonts w:hint="eastAsia" w:ascii="Microsoft JhengHei" w:hAnsi="Microsoft JhengHei" w:eastAsia="宋体" w:cs="Microsoft JhengHei"/>
          <w:spacing w:val="-11"/>
          <w:sz w:val="44"/>
          <w:szCs w:val="44"/>
          <w:lang w:eastAsia="zh-CN"/>
        </w:rPr>
        <w:t>长安乡</w:t>
      </w:r>
      <w:r>
        <w:rPr>
          <w:rFonts w:ascii="Microsoft JhengHei" w:hAnsi="Microsoft JhengHei" w:eastAsia="Microsoft JhengHei" w:cs="Microsoft JhengHei"/>
          <w:spacing w:val="-11"/>
          <w:sz w:val="44"/>
          <w:szCs w:val="44"/>
        </w:rPr>
        <w:t>城乡治理标准化体系图</w:t>
      </w:r>
    </w:p>
    <w:p>
      <w:pPr>
        <w:spacing w:line="285" w:lineRule="auto"/>
        <w:rPr>
          <w:rFonts w:ascii="Microsoft JhengHei"/>
          <w:sz w:val="21"/>
        </w:rPr>
      </w:pPr>
    </w:p>
    <w:p>
      <w:pPr>
        <w:spacing w:line="285" w:lineRule="auto"/>
        <w:rPr>
          <w:rFonts w:ascii="Microsoft JhengHei"/>
          <w:sz w:val="21"/>
        </w:rPr>
      </w:pPr>
    </w:p>
    <w:p>
      <w:pPr>
        <w:spacing w:line="285" w:lineRule="auto"/>
        <w:rPr>
          <w:rFonts w:ascii="Microsoft JhengHei"/>
          <w:sz w:val="21"/>
        </w:rPr>
      </w:pPr>
    </w:p>
    <w:p>
      <w:pPr>
        <w:spacing w:before="64" w:line="184" w:lineRule="auto"/>
        <w:ind w:firstLine="6322"/>
        <w:rPr>
          <w:rFonts w:ascii="方正楷体简体" w:hAnsi="方正楷体简体" w:eastAsia="方正楷体简体" w:cs="方正楷体简体"/>
          <w:sz w:val="18"/>
          <w:szCs w:val="18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793750</wp:posOffset>
            </wp:positionH>
            <wp:positionV relativeFrom="page">
              <wp:posOffset>2801620</wp:posOffset>
            </wp:positionV>
            <wp:extent cx="4051300" cy="6312535"/>
            <wp:effectExtent l="0" t="0" r="6350" b="12065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51388" cy="63124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4"/>
          <w:w w:val="99"/>
          <w:sz w:val="18"/>
          <w:szCs w:val="18"/>
        </w:rPr>
        <w:t>1.1</w:t>
      </w:r>
      <w:r>
        <w:rPr>
          <w:rFonts w:ascii="方正楷体简体" w:hAnsi="方正楷体简体" w:eastAsia="方正楷体简体" w:cs="方正楷体简体"/>
          <w:spacing w:val="-4"/>
          <w:w w:val="99"/>
          <w:sz w:val="18"/>
          <w:szCs w:val="18"/>
        </w:rPr>
        <w:t>道路清扫养护</w:t>
      </w:r>
    </w:p>
    <w:p>
      <w:pPr>
        <w:spacing w:before="96" w:line="184" w:lineRule="auto"/>
        <w:ind w:firstLine="6310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4"/>
          <w:w w:val="99"/>
          <w:sz w:val="18"/>
          <w:szCs w:val="18"/>
        </w:rPr>
        <w:t>1.2</w:t>
      </w:r>
      <w:r>
        <w:rPr>
          <w:rFonts w:ascii="方正楷体简体" w:hAnsi="方正楷体简体" w:eastAsia="方正楷体简体" w:cs="方正楷体简体"/>
          <w:spacing w:val="-4"/>
          <w:w w:val="99"/>
          <w:sz w:val="18"/>
          <w:szCs w:val="18"/>
        </w:rPr>
        <w:t>绿化维护保养</w:t>
      </w:r>
    </w:p>
    <w:p>
      <w:pPr>
        <w:spacing w:before="103" w:line="184" w:lineRule="auto"/>
        <w:ind w:firstLine="6331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4"/>
          <w:sz w:val="18"/>
          <w:szCs w:val="18"/>
        </w:rPr>
        <w:t>1.3</w:t>
      </w:r>
      <w:r>
        <w:rPr>
          <w:rFonts w:ascii="方正楷体简体" w:hAnsi="方正楷体简体" w:eastAsia="方正楷体简体" w:cs="方正楷体简体"/>
          <w:spacing w:val="-4"/>
          <w:sz w:val="18"/>
          <w:szCs w:val="18"/>
        </w:rPr>
        <w:t>背街小巷保洁整治</w:t>
      </w:r>
    </w:p>
    <w:p>
      <w:pPr>
        <w:spacing w:before="106" w:line="184" w:lineRule="auto"/>
        <w:ind w:firstLine="6336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4"/>
          <w:sz w:val="18"/>
          <w:szCs w:val="18"/>
        </w:rPr>
        <w:t>1.4</w:t>
      </w:r>
      <w:r>
        <w:rPr>
          <w:rFonts w:ascii="方正楷体简体" w:hAnsi="方正楷体简体" w:eastAsia="方正楷体简体" w:cs="方正楷体简体"/>
          <w:spacing w:val="-4"/>
          <w:sz w:val="18"/>
          <w:szCs w:val="18"/>
        </w:rPr>
        <w:t>垃圾收集清运处置</w:t>
      </w:r>
    </w:p>
    <w:p>
      <w:pPr>
        <w:spacing w:before="94" w:line="184" w:lineRule="auto"/>
        <w:ind w:firstLine="6353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4"/>
          <w:sz w:val="18"/>
          <w:szCs w:val="18"/>
        </w:rPr>
        <w:t>1.5</w:t>
      </w:r>
      <w:r>
        <w:rPr>
          <w:rFonts w:ascii="方正楷体简体" w:hAnsi="方正楷体简体" w:eastAsia="方正楷体简体" w:cs="方正楷体简体"/>
          <w:spacing w:val="-4"/>
          <w:sz w:val="18"/>
          <w:szCs w:val="18"/>
        </w:rPr>
        <w:t>建筑施工管理</w:t>
      </w:r>
    </w:p>
    <w:p>
      <w:pPr>
        <w:spacing w:before="109" w:line="184" w:lineRule="auto"/>
        <w:ind w:firstLine="6346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4"/>
          <w:sz w:val="18"/>
          <w:szCs w:val="18"/>
        </w:rPr>
        <w:t>1.6</w:t>
      </w:r>
      <w:r>
        <w:rPr>
          <w:rFonts w:ascii="方正楷体简体" w:hAnsi="方正楷体简体" w:eastAsia="方正楷体简体" w:cs="方正楷体简体"/>
          <w:spacing w:val="-4"/>
          <w:sz w:val="18"/>
          <w:szCs w:val="18"/>
        </w:rPr>
        <w:t>公用设施</w:t>
      </w:r>
    </w:p>
    <w:p>
      <w:pPr>
        <w:spacing w:before="132" w:line="184" w:lineRule="auto"/>
        <w:ind w:firstLine="6350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4"/>
          <w:w w:val="99"/>
          <w:sz w:val="18"/>
          <w:szCs w:val="18"/>
        </w:rPr>
        <w:t>1.7</w:t>
      </w:r>
      <w:r>
        <w:rPr>
          <w:rFonts w:ascii="方正楷体简体" w:hAnsi="方正楷体简体" w:eastAsia="方正楷体简体" w:cs="方正楷体简体"/>
          <w:spacing w:val="-4"/>
          <w:w w:val="99"/>
          <w:sz w:val="18"/>
          <w:szCs w:val="18"/>
        </w:rPr>
        <w:t>小区管理</w:t>
      </w:r>
    </w:p>
    <w:p>
      <w:pPr>
        <w:spacing w:before="131" w:line="184" w:lineRule="auto"/>
        <w:ind w:firstLine="6341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3"/>
          <w:sz w:val="18"/>
          <w:szCs w:val="18"/>
        </w:rPr>
        <w:t>1.8</w:t>
      </w:r>
      <w:r>
        <w:rPr>
          <w:rFonts w:ascii="方正楷体简体" w:hAnsi="方正楷体简体" w:eastAsia="方正楷体简体" w:cs="方正楷体简体"/>
          <w:spacing w:val="-3"/>
          <w:sz w:val="18"/>
          <w:szCs w:val="18"/>
        </w:rPr>
        <w:t>环境噪声治理</w:t>
      </w:r>
    </w:p>
    <w:p>
      <w:pPr>
        <w:spacing w:before="46" w:line="184" w:lineRule="auto"/>
        <w:ind w:firstLine="6362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4"/>
          <w:w w:val="98"/>
          <w:sz w:val="18"/>
          <w:szCs w:val="18"/>
        </w:rPr>
        <w:t>1.9</w:t>
      </w:r>
      <w:r>
        <w:rPr>
          <w:rFonts w:ascii="方正楷体简体" w:hAnsi="方正楷体简体" w:eastAsia="方正楷体简体" w:cs="方正楷体简体"/>
          <w:spacing w:val="-4"/>
          <w:w w:val="98"/>
          <w:sz w:val="18"/>
          <w:szCs w:val="18"/>
        </w:rPr>
        <w:t>其他</w:t>
      </w:r>
    </w:p>
    <w:p>
      <w:pPr>
        <w:spacing w:before="380" w:line="184" w:lineRule="auto"/>
        <w:ind w:firstLine="6352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4"/>
          <w:w w:val="98"/>
          <w:sz w:val="18"/>
          <w:szCs w:val="18"/>
        </w:rPr>
        <w:t>2.1</w:t>
      </w:r>
      <w:r>
        <w:rPr>
          <w:rFonts w:hint="eastAsia" w:ascii="方正楷体简体" w:hAnsi="方正楷体简体" w:eastAsia="方正楷体简体" w:cs="方正楷体简体"/>
          <w:spacing w:val="-4"/>
          <w:w w:val="98"/>
          <w:sz w:val="18"/>
          <w:szCs w:val="18"/>
          <w:lang w:eastAsia="zh-CN"/>
        </w:rPr>
        <w:t>屋场</w:t>
      </w:r>
      <w:r>
        <w:rPr>
          <w:rFonts w:ascii="方正楷体简体" w:hAnsi="方正楷体简体" w:eastAsia="方正楷体简体" w:cs="方正楷体简体"/>
          <w:spacing w:val="-4"/>
          <w:w w:val="98"/>
          <w:sz w:val="18"/>
          <w:szCs w:val="18"/>
        </w:rPr>
        <w:t>管理</w:t>
      </w:r>
    </w:p>
    <w:p>
      <w:pPr>
        <w:spacing w:before="96" w:line="184" w:lineRule="auto"/>
        <w:ind w:firstLine="6347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4"/>
          <w:sz w:val="18"/>
          <w:szCs w:val="18"/>
        </w:rPr>
        <w:t>2.2</w:t>
      </w:r>
      <w:r>
        <w:rPr>
          <w:rFonts w:ascii="方正楷体简体" w:hAnsi="方正楷体简体" w:eastAsia="方正楷体简体" w:cs="方正楷体简体"/>
          <w:spacing w:val="-4"/>
          <w:sz w:val="18"/>
          <w:szCs w:val="18"/>
        </w:rPr>
        <w:t>乡村环境卫生</w:t>
      </w:r>
    </w:p>
    <w:p>
      <w:pPr>
        <w:spacing w:before="49" w:line="184" w:lineRule="auto"/>
        <w:ind w:firstLine="6352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3"/>
          <w:sz w:val="18"/>
          <w:szCs w:val="18"/>
        </w:rPr>
        <w:t>2.3</w:t>
      </w:r>
      <w:r>
        <w:rPr>
          <w:rFonts w:ascii="方正楷体简体" w:hAnsi="方正楷体简体" w:eastAsia="方正楷体简体" w:cs="方正楷体简体"/>
          <w:spacing w:val="-3"/>
          <w:sz w:val="18"/>
          <w:szCs w:val="18"/>
        </w:rPr>
        <w:t>乡村公共基础设施建设维护</w:t>
      </w:r>
    </w:p>
    <w:p>
      <w:pPr>
        <w:spacing w:before="60" w:line="184" w:lineRule="auto"/>
        <w:ind w:firstLine="6352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1"/>
          <w:sz w:val="18"/>
          <w:szCs w:val="18"/>
        </w:rPr>
        <w:t>2.4</w:t>
      </w:r>
      <w:r>
        <w:rPr>
          <w:rFonts w:ascii="方正楷体简体" w:hAnsi="方正楷体简体" w:eastAsia="方正楷体简体" w:cs="方正楷体简体"/>
          <w:spacing w:val="-1"/>
          <w:sz w:val="18"/>
          <w:szCs w:val="18"/>
        </w:rPr>
        <w:t>农房及农业生产用房管理</w:t>
      </w:r>
    </w:p>
    <w:p>
      <w:pPr>
        <w:spacing w:before="51" w:line="184" w:lineRule="auto"/>
        <w:ind w:firstLine="6355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4"/>
          <w:w w:val="99"/>
          <w:sz w:val="18"/>
          <w:szCs w:val="18"/>
        </w:rPr>
        <w:t>2.5</w:t>
      </w:r>
      <w:r>
        <w:rPr>
          <w:rFonts w:ascii="方正楷体简体" w:hAnsi="方正楷体简体" w:eastAsia="方正楷体简体" w:cs="方正楷体简体"/>
          <w:spacing w:val="-4"/>
          <w:w w:val="99"/>
          <w:sz w:val="18"/>
          <w:szCs w:val="18"/>
        </w:rPr>
        <w:t>乡风文明</w:t>
      </w:r>
    </w:p>
    <w:p>
      <w:pPr>
        <w:spacing w:before="83" w:line="192" w:lineRule="auto"/>
        <w:ind w:firstLine="6352"/>
        <w:rPr>
          <w:rFonts w:ascii="楷体" w:hAnsi="楷体" w:eastAsia="楷体" w:cs="楷体"/>
          <w:sz w:val="18"/>
          <w:szCs w:val="18"/>
        </w:rPr>
      </w:pPr>
      <w:r>
        <w:rPr>
          <w:rFonts w:ascii="楷体" w:hAnsi="楷体" w:eastAsia="楷体" w:cs="楷体"/>
          <w:spacing w:val="-2"/>
          <w:sz w:val="18"/>
          <w:szCs w:val="18"/>
        </w:rPr>
        <w:t>2.6村民自治</w:t>
      </w:r>
    </w:p>
    <w:p>
      <w:pPr>
        <w:spacing w:before="137" w:line="192" w:lineRule="auto"/>
        <w:ind w:firstLine="6342"/>
        <w:rPr>
          <w:rFonts w:ascii="楷体" w:hAnsi="楷体" w:eastAsia="楷体" w:cs="楷体"/>
          <w:sz w:val="18"/>
          <w:szCs w:val="18"/>
        </w:rPr>
      </w:pPr>
      <w:r>
        <w:rPr>
          <w:rFonts w:ascii="楷体" w:hAnsi="楷体" w:eastAsia="楷体" w:cs="楷体"/>
          <w:spacing w:val="-4"/>
          <w:sz w:val="18"/>
          <w:szCs w:val="18"/>
        </w:rPr>
        <w:t>2.7其他</w:t>
      </w:r>
    </w:p>
    <w:p>
      <w:pPr>
        <w:spacing w:before="325" w:line="180" w:lineRule="auto"/>
        <w:ind w:firstLine="6377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4"/>
          <w:sz w:val="18"/>
          <w:szCs w:val="18"/>
        </w:rPr>
        <w:t>3.1</w:t>
      </w:r>
      <w:r>
        <w:rPr>
          <w:rFonts w:ascii="方正楷体简体" w:hAnsi="方正楷体简体" w:eastAsia="方正楷体简体" w:cs="方正楷体简体"/>
          <w:spacing w:val="-4"/>
          <w:sz w:val="18"/>
          <w:szCs w:val="18"/>
        </w:rPr>
        <w:t>道路交通设施</w:t>
      </w:r>
    </w:p>
    <w:p>
      <w:pPr>
        <w:spacing w:before="104" w:line="184" w:lineRule="auto"/>
        <w:ind w:firstLine="6377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4"/>
          <w:w w:val="98"/>
          <w:sz w:val="18"/>
          <w:szCs w:val="18"/>
        </w:rPr>
        <w:t>3.2</w:t>
      </w:r>
      <w:r>
        <w:rPr>
          <w:rFonts w:ascii="方正楷体简体" w:hAnsi="方正楷体简体" w:eastAsia="方正楷体简体" w:cs="方正楷体简体"/>
          <w:spacing w:val="-4"/>
          <w:w w:val="98"/>
          <w:sz w:val="18"/>
          <w:szCs w:val="18"/>
        </w:rPr>
        <w:t>路口管理</w:t>
      </w:r>
    </w:p>
    <w:p>
      <w:pPr>
        <w:spacing w:before="154" w:line="184" w:lineRule="auto"/>
        <w:ind w:firstLine="6385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3"/>
          <w:sz w:val="18"/>
          <w:szCs w:val="18"/>
        </w:rPr>
        <w:t>3.3</w:t>
      </w:r>
      <w:r>
        <w:rPr>
          <w:rFonts w:ascii="方正楷体简体" w:hAnsi="方正楷体简体" w:eastAsia="方正楷体简体" w:cs="方正楷体简体"/>
          <w:spacing w:val="-3"/>
          <w:sz w:val="18"/>
          <w:szCs w:val="18"/>
        </w:rPr>
        <w:t>车辆停放管理</w:t>
      </w:r>
    </w:p>
    <w:p>
      <w:pPr>
        <w:spacing w:before="142" w:line="184" w:lineRule="auto"/>
        <w:ind w:firstLine="6377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3"/>
          <w:sz w:val="18"/>
          <w:szCs w:val="18"/>
        </w:rPr>
        <w:t>3.4</w:t>
      </w:r>
      <w:r>
        <w:rPr>
          <w:rFonts w:ascii="方正楷体简体" w:hAnsi="方正楷体简体" w:eastAsia="方正楷体简体" w:cs="方正楷体简体"/>
          <w:spacing w:val="-3"/>
          <w:sz w:val="18"/>
          <w:szCs w:val="18"/>
        </w:rPr>
        <w:t>交通场站管理</w:t>
      </w:r>
    </w:p>
    <w:p>
      <w:pPr>
        <w:spacing w:before="332" w:line="184" w:lineRule="auto"/>
        <w:ind w:firstLine="6409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4"/>
          <w:w w:val="98"/>
          <w:sz w:val="18"/>
          <w:szCs w:val="18"/>
        </w:rPr>
        <w:t>4.1</w:t>
      </w:r>
      <w:r>
        <w:rPr>
          <w:rFonts w:ascii="方正楷体简体" w:hAnsi="方正楷体简体" w:eastAsia="方正楷体简体" w:cs="方正楷体简体"/>
          <w:spacing w:val="-4"/>
          <w:w w:val="98"/>
          <w:sz w:val="18"/>
          <w:szCs w:val="18"/>
        </w:rPr>
        <w:t>临街店面、五小门店及其他管理</w:t>
      </w:r>
    </w:p>
    <w:p>
      <w:pPr>
        <w:spacing w:before="171" w:line="184" w:lineRule="auto"/>
        <w:ind w:firstLine="6423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4"/>
          <w:w w:val="97"/>
          <w:sz w:val="18"/>
          <w:szCs w:val="18"/>
        </w:rPr>
        <w:t>4.2</w:t>
      </w:r>
      <w:r>
        <w:rPr>
          <w:rFonts w:ascii="方正楷体简体" w:hAnsi="方正楷体简体" w:eastAsia="方正楷体简体" w:cs="方正楷体简体"/>
          <w:spacing w:val="-4"/>
          <w:w w:val="97"/>
          <w:sz w:val="18"/>
          <w:szCs w:val="18"/>
        </w:rPr>
        <w:t>农贸市场管理</w:t>
      </w:r>
    </w:p>
    <w:p>
      <w:pPr>
        <w:spacing w:before="106" w:line="184" w:lineRule="auto"/>
        <w:ind w:firstLine="6423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2"/>
          <w:sz w:val="18"/>
          <w:szCs w:val="18"/>
        </w:rPr>
        <w:t>4.3</w:t>
      </w:r>
      <w:r>
        <w:rPr>
          <w:rFonts w:ascii="方正楷体简体" w:hAnsi="方正楷体简体" w:eastAsia="方正楷体简体" w:cs="方正楷体简体"/>
          <w:spacing w:val="-2"/>
          <w:sz w:val="18"/>
          <w:szCs w:val="18"/>
        </w:rPr>
        <w:t>夜市管理</w:t>
      </w:r>
    </w:p>
    <w:p>
      <w:pPr>
        <w:spacing w:before="106" w:line="184" w:lineRule="auto"/>
        <w:ind w:firstLine="6426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2"/>
          <w:sz w:val="18"/>
          <w:szCs w:val="18"/>
        </w:rPr>
        <w:t>4.4</w:t>
      </w:r>
      <w:r>
        <w:rPr>
          <w:rFonts w:ascii="方正楷体简体" w:hAnsi="方正楷体简体" w:eastAsia="方正楷体简体" w:cs="方正楷体简体"/>
          <w:spacing w:val="-2"/>
          <w:sz w:val="18"/>
          <w:szCs w:val="18"/>
        </w:rPr>
        <w:t>广告牌设置管理</w:t>
      </w:r>
    </w:p>
    <w:p>
      <w:pPr>
        <w:spacing w:before="426" w:line="184" w:lineRule="auto"/>
        <w:ind w:firstLine="6475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4"/>
          <w:sz w:val="18"/>
          <w:szCs w:val="18"/>
        </w:rPr>
        <w:t>5.1</w:t>
      </w:r>
      <w:r>
        <w:rPr>
          <w:rFonts w:ascii="方正楷体简体" w:hAnsi="方正楷体简体" w:eastAsia="方正楷体简体" w:cs="方正楷体简体"/>
          <w:spacing w:val="-4"/>
          <w:sz w:val="18"/>
          <w:szCs w:val="18"/>
        </w:rPr>
        <w:t>社会治安管理</w:t>
      </w:r>
    </w:p>
    <w:p>
      <w:pPr>
        <w:spacing w:before="108" w:line="184" w:lineRule="auto"/>
        <w:ind w:firstLine="6460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2"/>
          <w:sz w:val="18"/>
          <w:szCs w:val="18"/>
        </w:rPr>
        <w:t>5.2</w:t>
      </w:r>
      <w:r>
        <w:rPr>
          <w:rFonts w:ascii="方正楷体简体" w:hAnsi="方正楷体简体" w:eastAsia="方正楷体简体" w:cs="方正楷体简体"/>
          <w:spacing w:val="-2"/>
          <w:sz w:val="18"/>
          <w:szCs w:val="18"/>
        </w:rPr>
        <w:t>道路交通安全管理</w:t>
      </w:r>
    </w:p>
    <w:p>
      <w:pPr>
        <w:spacing w:before="95" w:line="184" w:lineRule="auto"/>
        <w:ind w:firstLine="6451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3"/>
          <w:sz w:val="18"/>
          <w:szCs w:val="18"/>
        </w:rPr>
        <w:t>5.3</w:t>
      </w:r>
      <w:r>
        <w:rPr>
          <w:rFonts w:ascii="方正楷体简体" w:hAnsi="方正楷体简体" w:eastAsia="方正楷体简体" w:cs="方正楷体简体"/>
          <w:spacing w:val="-3"/>
          <w:sz w:val="18"/>
          <w:szCs w:val="18"/>
        </w:rPr>
        <w:t>防灾减灾应急管理</w:t>
      </w:r>
    </w:p>
    <w:p>
      <w:pPr>
        <w:spacing w:before="96" w:line="184" w:lineRule="auto"/>
        <w:ind w:firstLine="6448"/>
        <w:rPr>
          <w:rFonts w:ascii="方正楷体简体" w:hAnsi="方正楷体简体" w:eastAsia="方正楷体简体" w:cs="方正楷体简体"/>
          <w:sz w:val="18"/>
          <w:szCs w:val="18"/>
        </w:rPr>
      </w:pPr>
      <w:r>
        <w:rPr>
          <w:rFonts w:ascii="Times New Roman" w:hAnsi="Times New Roman" w:eastAsia="Times New Roman" w:cs="Times New Roman"/>
          <w:spacing w:val="-4"/>
          <w:sz w:val="18"/>
          <w:szCs w:val="18"/>
        </w:rPr>
        <w:t>5.4</w:t>
      </w:r>
      <w:r>
        <w:rPr>
          <w:rFonts w:ascii="方正楷体简体" w:hAnsi="方正楷体简体" w:eastAsia="方正楷体简体" w:cs="方正楷体简体"/>
          <w:spacing w:val="-4"/>
          <w:sz w:val="18"/>
          <w:szCs w:val="18"/>
        </w:rPr>
        <w:t>防溺水管理</w:t>
      </w:r>
    </w:p>
    <w:p>
      <w:pPr>
        <w:spacing w:before="117" w:line="192" w:lineRule="auto"/>
        <w:ind w:firstLine="6443"/>
        <w:rPr>
          <w:rFonts w:ascii="楷体" w:hAnsi="楷体" w:eastAsia="楷体" w:cs="楷体"/>
          <w:sz w:val="18"/>
          <w:szCs w:val="18"/>
        </w:rPr>
      </w:pPr>
      <w:r>
        <w:rPr>
          <w:rFonts w:ascii="楷体" w:hAnsi="楷体" w:eastAsia="楷体" w:cs="楷体"/>
          <w:spacing w:val="-2"/>
          <w:sz w:val="18"/>
          <w:szCs w:val="18"/>
        </w:rPr>
        <w:t>5.5校车管理</w:t>
      </w:r>
    </w:p>
    <w:p>
      <w:pPr>
        <w:spacing w:before="110" w:line="192" w:lineRule="auto"/>
        <w:ind w:firstLine="6443"/>
        <w:rPr>
          <w:rFonts w:ascii="楷体" w:hAnsi="楷体" w:eastAsia="楷体" w:cs="楷体"/>
          <w:sz w:val="18"/>
          <w:szCs w:val="18"/>
        </w:rPr>
      </w:pPr>
      <w:r>
        <w:rPr>
          <w:rFonts w:ascii="楷体" w:hAnsi="楷体" w:eastAsia="楷体" w:cs="楷体"/>
          <w:spacing w:val="-3"/>
          <w:sz w:val="18"/>
          <w:szCs w:val="18"/>
        </w:rPr>
        <w:t>5.6学校周边管理</w:t>
      </w:r>
    </w:p>
    <w:p>
      <w:pPr>
        <w:spacing w:before="98" w:line="192" w:lineRule="auto"/>
        <w:ind w:firstLine="6443"/>
        <w:sectPr>
          <w:footerReference r:id="rId6" w:type="default"/>
          <w:pgSz w:w="11906" w:h="16839"/>
          <w:pgMar w:top="1431" w:right="1511" w:bottom="1616" w:left="1259" w:header="0" w:footer="1421" w:gutter="0"/>
          <w:cols w:space="720" w:num="1"/>
        </w:sectPr>
      </w:pPr>
      <w:r>
        <w:rPr>
          <w:rFonts w:ascii="楷体" w:hAnsi="楷体" w:eastAsia="楷体" w:cs="楷体"/>
          <w:spacing w:val="-2"/>
          <w:sz w:val="18"/>
          <w:szCs w:val="18"/>
        </w:rPr>
        <w:t>5.7重点公共安全管理</w:t>
      </w:r>
    </w:p>
    <w:p/>
    <w:p>
      <w:pPr>
        <w:spacing w:before="105" w:line="187" w:lineRule="auto"/>
        <w:rPr>
          <w:rFonts w:hint="default" w:ascii="Times New Roman" w:hAnsi="Times New Roman" w:eastAsia="黑体" w:cs="Times New Roman"/>
          <w:spacing w:val="-11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pacing w:val="-11"/>
          <w:sz w:val="32"/>
          <w:szCs w:val="32"/>
        </w:rPr>
        <w:t>附件2</w:t>
      </w:r>
    </w:p>
    <w:p>
      <w:pPr>
        <w:spacing w:before="105" w:line="187" w:lineRule="auto"/>
        <w:jc w:val="center"/>
        <w:rPr>
          <w:rFonts w:hint="default" w:ascii="Times New Roman" w:hAnsi="Times New Roman" w:eastAsia="方正小标宋简体" w:cs="Times New Roma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长安乡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城乡治理标准化标准内容</w:t>
      </w:r>
    </w:p>
    <w:p>
      <w:pPr>
        <w:rPr>
          <w:rFonts w:hint="default" w:ascii="Times New Roman" w:hAnsi="Times New Roman" w:cs="Times New Roman"/>
        </w:rPr>
      </w:pPr>
    </w:p>
    <w:tbl>
      <w:tblPr>
        <w:tblStyle w:val="5"/>
        <w:tblpPr w:leftFromText="180" w:rightFromText="180" w:vertAnchor="text" w:horzAnchor="page" w:tblpX="1516" w:tblpY="68"/>
        <w:tblOverlap w:val="never"/>
        <w:tblW w:w="1380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109"/>
        <w:gridCol w:w="1724"/>
        <w:gridCol w:w="3175"/>
        <w:gridCol w:w="4915"/>
        <w:gridCol w:w="168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07" w:hRule="atLeast"/>
        </w:trPr>
        <w:tc>
          <w:tcPr>
            <w:tcW w:w="1194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一级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（领域）</w:t>
            </w:r>
          </w:p>
        </w:tc>
        <w:tc>
          <w:tcPr>
            <w:tcW w:w="1109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（大类）</w:t>
            </w:r>
          </w:p>
        </w:tc>
        <w:tc>
          <w:tcPr>
            <w:tcW w:w="1724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三级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10"/>
                <w:sz w:val="18"/>
                <w:szCs w:val="18"/>
              </w:rPr>
              <w:t>（项目）</w:t>
            </w:r>
          </w:p>
        </w:tc>
        <w:tc>
          <w:tcPr>
            <w:tcW w:w="3175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标准内容</w:t>
            </w:r>
          </w:p>
        </w:tc>
        <w:tc>
          <w:tcPr>
            <w:tcW w:w="4915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问题描述</w:t>
            </w:r>
          </w:p>
        </w:tc>
        <w:tc>
          <w:tcPr>
            <w:tcW w:w="1688" w:type="dxa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牵头责任部门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0" w:hRule="atLeast"/>
        </w:trPr>
        <w:tc>
          <w:tcPr>
            <w:tcW w:w="1194" w:type="dxa"/>
            <w:vMerge w:val="restart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集镇治理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标准化</w:t>
            </w:r>
          </w:p>
        </w:tc>
        <w:tc>
          <w:tcPr>
            <w:tcW w:w="11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公共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管理</w:t>
            </w: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7"/>
                <w:sz w:val="18"/>
                <w:szCs w:val="18"/>
              </w:rPr>
              <w:t>容貌</w:t>
            </w:r>
          </w:p>
        </w:tc>
        <w:tc>
          <w:tcPr>
            <w:tcW w:w="317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900" w:firstLineChars="5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“五无一有”：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无乱搭乱建；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无乱停乱堆；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无污水直排；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无占道经营；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无暴露垃圾；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有停车场地。</w:t>
            </w:r>
          </w:p>
        </w:tc>
        <w:tc>
          <w:tcPr>
            <w:tcW w:w="4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1.有房屋乱搭乱建现象；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2.街面有乱停车、乱堆物现象；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3.有马路市场、乱停乱堆等导致的道路交通堵塞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现象；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4.有生活污水直排池塘、河流、街面现象；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5.有临街商铺占道经营现象；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6.街面垃圾没有及时清运，有暴露垃圾；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7.公益广告量不足。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乡执法队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社区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4" w:hRule="atLeast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69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5"/>
                <w:sz w:val="18"/>
                <w:szCs w:val="18"/>
              </w:rPr>
              <w:t>汽车站</w:t>
            </w:r>
          </w:p>
        </w:tc>
        <w:tc>
          <w:tcPr>
            <w:tcW w:w="3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设施完好、卫生洁净、秩序井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52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然，无拉客、喊客、欺客。</w:t>
            </w:r>
          </w:p>
        </w:tc>
        <w:tc>
          <w:tcPr>
            <w:tcW w:w="4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场站内设备设施有破损，不能正常使用；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2.环境卫生脏、差；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黑体" w:cs="Times New Roman"/>
                <w:spacing w:val="-10"/>
                <w:sz w:val="18"/>
                <w:szCs w:val="18"/>
              </w:rPr>
              <w:t>秩序乱；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4.有拉客、喊客、欺客现象；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5.没有志愿服务岗；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6.公益宣传不足。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乡交管站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  <w:lang w:eastAsia="zh-CN"/>
              </w:rPr>
              <w:t>派出所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277" w:hRule="atLeast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门店</w:t>
            </w:r>
            <w:r>
              <w:rPr>
                <w:rFonts w:hint="default" w:ascii="Times New Roman" w:hAnsi="Times New Roman" w:eastAsia="黑体" w:cs="Times New Roman"/>
                <w:spacing w:val="-11"/>
                <w:sz w:val="18"/>
                <w:szCs w:val="18"/>
              </w:rPr>
              <w:t>管理</w:t>
            </w: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w w:val="89"/>
                <w:sz w:val="18"/>
                <w:szCs w:val="18"/>
              </w:rPr>
              <w:t>店铺招牌</w:t>
            </w:r>
          </w:p>
        </w:tc>
        <w:tc>
          <w:tcPr>
            <w:tcW w:w="3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一店一牌、样式协调、高度整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齐、不占道摆放、不占公共空间。</w:t>
            </w:r>
          </w:p>
        </w:tc>
        <w:tc>
          <w:tcPr>
            <w:tcW w:w="4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1.门店招牌没有实行“一店一牌”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2.门店招牌破旧、残损，未及时拆除、更换；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3.门店外摆放流动招牌；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5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4.门头LED公益宣传量不足。</w:t>
            </w: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乡执法队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社区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535" w:hRule="atLeast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9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9"/>
                <w:sz w:val="18"/>
                <w:szCs w:val="18"/>
              </w:rPr>
              <w:t>门前三包</w:t>
            </w:r>
          </w:p>
        </w:tc>
        <w:tc>
          <w:tcPr>
            <w:tcW w:w="3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6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“三包”：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469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包环境卫生；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469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包市容秩序；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469" w:firstLineChars="0"/>
              <w:jc w:val="both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包绿化和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政公用设施。</w:t>
            </w:r>
          </w:p>
        </w:tc>
        <w:tc>
          <w:tcPr>
            <w:tcW w:w="4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1.垃圾随意乱倒乱扔，污水随意乱泼乱倒乱排；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2.乱挂乱晒、乱搭乱建、乱涂乱写乱张贴，乱开</w:t>
            </w: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挖占破道路，乱停放车辆，乱发乱扔广告传单，使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用高音喇叭招揽顾客；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3.毁损公共绿地、花草树木，损坏公用设施。</w:t>
            </w: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乡执法队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社区</w:t>
            </w:r>
          </w:p>
        </w:tc>
      </w:tr>
    </w:tbl>
    <w:p>
      <w:pPr>
        <w:spacing w:line="77" w:lineRule="exact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spacing w:line="77" w:lineRule="exact"/>
        <w:rPr>
          <w:rFonts w:hint="default" w:ascii="Times New Roman" w:hAnsi="Times New Roman" w:cs="Times New Roman"/>
          <w:sz w:val="18"/>
          <w:szCs w:val="18"/>
        </w:rPr>
      </w:pPr>
    </w:p>
    <w:tbl>
      <w:tblPr>
        <w:tblStyle w:val="5"/>
        <w:tblW w:w="13805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"/>
        <w:gridCol w:w="1018"/>
        <w:gridCol w:w="2002"/>
        <w:gridCol w:w="3310"/>
        <w:gridCol w:w="4867"/>
        <w:gridCol w:w="160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35" w:hRule="atLeast"/>
        </w:trPr>
        <w:tc>
          <w:tcPr>
            <w:tcW w:w="1007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一级</w:t>
            </w: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（领域）</w:t>
            </w:r>
          </w:p>
        </w:tc>
        <w:tc>
          <w:tcPr>
            <w:tcW w:w="1018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二级</w:t>
            </w: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（大类）</w:t>
            </w:r>
          </w:p>
        </w:tc>
        <w:tc>
          <w:tcPr>
            <w:tcW w:w="2002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三级</w:t>
            </w:r>
            <w:r>
              <w:rPr>
                <w:rFonts w:hint="default" w:ascii="Times New Roman" w:hAnsi="Times New Roman" w:eastAsia="黑体" w:cs="Times New Roman"/>
                <w:spacing w:val="10"/>
                <w:sz w:val="18"/>
                <w:szCs w:val="18"/>
              </w:rPr>
              <w:t>（项目）</w:t>
            </w:r>
          </w:p>
        </w:tc>
        <w:tc>
          <w:tcPr>
            <w:tcW w:w="3310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标准内容</w:t>
            </w:r>
          </w:p>
        </w:tc>
        <w:tc>
          <w:tcPr>
            <w:tcW w:w="4867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问题描述</w:t>
            </w:r>
          </w:p>
        </w:tc>
        <w:tc>
          <w:tcPr>
            <w:tcW w:w="1601" w:type="dxa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牵头责任部门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4" w:hRule="atLeast"/>
        </w:trPr>
        <w:tc>
          <w:tcPr>
            <w:tcW w:w="1007" w:type="dxa"/>
            <w:vMerge w:val="restart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乡村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治理标准化</w:t>
            </w:r>
          </w:p>
        </w:tc>
        <w:tc>
          <w:tcPr>
            <w:tcW w:w="101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乡村环境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卫生</w:t>
            </w: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6"/>
                <w:sz w:val="18"/>
                <w:szCs w:val="18"/>
              </w:rPr>
              <w:t>屋场庭院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按照“五改标准”（即改灶、</w:t>
            </w:r>
            <w:r>
              <w:rPr>
                <w:rFonts w:hint="default" w:ascii="Times New Roman" w:hAnsi="Times New Roman" w:eastAsia="黑体" w:cs="Times New Roman"/>
                <w:spacing w:val="3"/>
                <w:sz w:val="18"/>
                <w:szCs w:val="18"/>
              </w:rPr>
              <w:t>改台、改柜、改管、改水</w:t>
            </w:r>
            <w:r>
              <w:rPr>
                <w:rFonts w:hint="default" w:ascii="Times New Roman" w:hAnsi="Times New Roman" w:eastAsia="黑体" w:cs="Times New Roman"/>
                <w:spacing w:val="-56"/>
                <w:sz w:val="18"/>
                <w:szCs w:val="18"/>
              </w:rPr>
              <w:t>），</w:t>
            </w:r>
            <w:r>
              <w:rPr>
                <w:rFonts w:hint="default" w:ascii="Times New Roman" w:hAnsi="Times New Roman" w:eastAsia="黑体" w:cs="Times New Roman"/>
                <w:spacing w:val="3"/>
                <w:sz w:val="18"/>
                <w:szCs w:val="18"/>
              </w:rPr>
              <w:t>改造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农村厨房；</w:t>
            </w: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改造农村畜圈，避免人畜混居；</w:t>
            </w: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墙壁洁、门窗亮、地面净、摆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放齐；</w:t>
            </w: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庭院无杂堆、门前无乱挂、院</w:t>
            </w: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内无乱搭。</w:t>
            </w:r>
          </w:p>
        </w:tc>
        <w:tc>
          <w:tcPr>
            <w:tcW w:w="48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5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Microsoft JhengHei" w:cs="Times New Roman"/>
                <w:spacing w:val="-2"/>
                <w:sz w:val="18"/>
                <w:szCs w:val="18"/>
              </w:rPr>
              <w:t>1.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厨房烟洞前置；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7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</w:pPr>
            <w:r>
              <w:rPr>
                <w:rFonts w:hint="default" w:ascii="Times New Roman" w:hAnsi="Times New Roman" w:eastAsia="Microsoft JhengHei" w:cs="Times New Roman"/>
                <w:spacing w:val="3"/>
                <w:sz w:val="18"/>
                <w:szCs w:val="18"/>
              </w:rPr>
              <w:t>2.</w:t>
            </w:r>
            <w:r>
              <w:rPr>
                <w:rFonts w:hint="default" w:ascii="Times New Roman" w:hAnsi="Times New Roman" w:eastAsia="黑体" w:cs="Times New Roman"/>
                <w:spacing w:val="3"/>
                <w:sz w:val="18"/>
                <w:szCs w:val="18"/>
              </w:rPr>
              <w:t>农用物资、柴草、建材及生活杂物等摆放无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序；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5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</w:pPr>
            <w:r>
              <w:rPr>
                <w:rFonts w:hint="default" w:ascii="Times New Roman" w:hAnsi="Times New Roman" w:eastAsia="Microsoft JhengHei" w:cs="Times New Roman"/>
                <w:spacing w:val="-1"/>
                <w:sz w:val="18"/>
                <w:szCs w:val="18"/>
              </w:rPr>
              <w:t>3.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塑料袋或彩条乱挂；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6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</w:pPr>
            <w:r>
              <w:rPr>
                <w:rFonts w:hint="default" w:ascii="Times New Roman" w:hAnsi="Times New Roman" w:eastAsia="Microsoft JhengHei" w:cs="Times New Roman"/>
                <w:spacing w:val="2"/>
                <w:sz w:val="18"/>
                <w:szCs w:val="18"/>
              </w:rPr>
              <w:t>4.</w:t>
            </w: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围墙围栏破损，墙体乱涂乱画、有违规户外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张贴物等；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4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</w:pPr>
            <w:r>
              <w:rPr>
                <w:rFonts w:hint="default" w:ascii="Times New Roman" w:hAnsi="Times New Roman" w:eastAsia="Microsoft JhengHei" w:cs="Times New Roman"/>
                <w:spacing w:val="-3"/>
                <w:sz w:val="18"/>
                <w:szCs w:val="18"/>
              </w:rPr>
              <w:t>5.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门窗布满灰尘或蜘蛛网等；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5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</w:pPr>
            <w:r>
              <w:rPr>
                <w:rFonts w:hint="default" w:ascii="Times New Roman" w:hAnsi="Times New Roman" w:eastAsia="Microsoft JhengHei" w:cs="Times New Roman"/>
                <w:spacing w:val="-1"/>
                <w:sz w:val="18"/>
                <w:szCs w:val="18"/>
              </w:rPr>
              <w:t>6</w:t>
            </w:r>
            <w:r>
              <w:rPr>
                <w:rFonts w:hint="default" w:ascii="Times New Roman" w:hAnsi="Times New Roman" w:eastAsia="宋体" w:cs="Times New Roman"/>
                <w:spacing w:val="-1"/>
                <w:sz w:val="18"/>
                <w:szCs w:val="18"/>
                <w:lang w:val="en-US" w:eastAsia="zh-CN"/>
              </w:rPr>
              <w:t>.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地方破损或污水横流或垃圾遍地；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5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  <w:lang w:val="en-US" w:eastAsia="zh-CN"/>
              </w:rPr>
              <w:t>7.</w:t>
            </w: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人畜混居。</w:t>
            </w:r>
          </w:p>
        </w:tc>
        <w:tc>
          <w:tcPr>
            <w:tcW w:w="1601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乡生态办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218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1007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69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</w:p>
        </w:tc>
        <w:tc>
          <w:tcPr>
            <w:tcW w:w="10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39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8"/>
                <w:sz w:val="18"/>
                <w:szCs w:val="18"/>
              </w:rPr>
              <w:t>农村饮水安</w:t>
            </w:r>
            <w:r>
              <w:rPr>
                <w:rFonts w:hint="default" w:ascii="Times New Roman" w:hAnsi="Times New Roman" w:eastAsia="黑体" w:cs="Times New Roman"/>
                <w:sz w:val="18"/>
                <w:szCs w:val="18"/>
              </w:rPr>
              <w:t>全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水源保护区无排污口；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有标识标牌和防护隔离网；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水质检测常态化；巡查检查经常化。</w:t>
            </w:r>
          </w:p>
        </w:tc>
        <w:tc>
          <w:tcPr>
            <w:tcW w:w="48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6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1.乡镇集中式饮用水源地规范化整治未全面开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展；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44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2.个别集中式饮用水源地水质不达标。</w:t>
            </w:r>
          </w:p>
        </w:tc>
        <w:tc>
          <w:tcPr>
            <w:tcW w:w="1601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  <w:lang w:eastAsia="zh-CN"/>
              </w:rPr>
              <w:t>乡生态办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27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7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</w:trPr>
        <w:tc>
          <w:tcPr>
            <w:tcW w:w="1007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7"/>
                <w:sz w:val="18"/>
                <w:szCs w:val="18"/>
              </w:rPr>
              <w:t>村垃圾收集</w:t>
            </w:r>
            <w:r>
              <w:rPr>
                <w:rFonts w:hint="default" w:ascii="Times New Roman" w:hAnsi="Times New Roman" w:eastAsia="黑体" w:cs="Times New Roman"/>
                <w:sz w:val="18"/>
                <w:szCs w:val="18"/>
              </w:rPr>
              <w:t>池（桶）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布点合理；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无垃圾满溢；无鼠窜蝇飞。</w:t>
            </w:r>
          </w:p>
        </w:tc>
        <w:tc>
          <w:tcPr>
            <w:tcW w:w="48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2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1.农户“二池三桶”（沤肥池、农药化肥包装物</w:t>
            </w: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收集池，可回收垃圾桶、不可回收垃圾桶、有害物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质垃圾桶）未全覆盖，未按人口比例配置垃圾收集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容器或分布不均；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0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10"/>
                <w:w w:val="97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7"/>
                <w:sz w:val="18"/>
                <w:szCs w:val="18"/>
              </w:rPr>
              <w:t>2.垃圾收集容器内存储垃圾超过三分之二的高度；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44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3.垃圾收集容器未采取防鼠灭蝇措施。</w:t>
            </w:r>
          </w:p>
        </w:tc>
        <w:tc>
          <w:tcPr>
            <w:tcW w:w="1601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  <w:lang w:eastAsia="zh-CN"/>
              </w:rPr>
              <w:t>乡生态办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218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2" w:hRule="atLeast"/>
        </w:trPr>
        <w:tc>
          <w:tcPr>
            <w:tcW w:w="1007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农村厕所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建设改造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应改尽改；黑灰分离；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无害处理；综合利用。</w:t>
            </w:r>
          </w:p>
        </w:tc>
        <w:tc>
          <w:tcPr>
            <w:tcW w:w="48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1.符合改厕条件的农户没有改厕；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2.洗澡水和浣衣水等灰水入池；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3.厕具质量或施工质量不达标，导致化粪池失去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无害化处理功能；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6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4.未建尾水处理设施或农户不能正确进行资源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化利用。</w:t>
            </w:r>
          </w:p>
        </w:tc>
        <w:tc>
          <w:tcPr>
            <w:tcW w:w="1601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乡改厕办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218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007" w:type="dxa"/>
            <w:vMerge w:val="continue"/>
            <w:tcBorders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8" w:type="dxa"/>
            <w:vMerge w:val="continue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2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农村生活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垃圾治理</w:t>
            </w:r>
          </w:p>
        </w:tc>
        <w:tc>
          <w:tcPr>
            <w:tcW w:w="3310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户分类、村收集；镇转运、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处理。</w:t>
            </w:r>
          </w:p>
        </w:tc>
        <w:tc>
          <w:tcPr>
            <w:tcW w:w="4867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6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群众发动不到位、治理投入不到位、设施配置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不到位、保洁队伍不到位、管护机制不健全。</w:t>
            </w:r>
          </w:p>
        </w:tc>
        <w:tc>
          <w:tcPr>
            <w:tcW w:w="1601" w:type="dxa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乡生态办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</w:tbl>
    <w:p>
      <w:pPr>
        <w:spacing w:line="228" w:lineRule="exact"/>
        <w:rPr>
          <w:rFonts w:hint="default" w:ascii="Times New Roman" w:hAnsi="Times New Roman" w:cs="Times New Roman"/>
          <w:sz w:val="18"/>
          <w:szCs w:val="18"/>
        </w:rPr>
      </w:pPr>
    </w:p>
    <w:p>
      <w:pPr>
        <w:jc w:val="center"/>
        <w:rPr>
          <w:rFonts w:hint="default" w:ascii="Times New Roman" w:hAnsi="Times New Roman" w:cs="Times New Roman"/>
          <w:sz w:val="18"/>
          <w:szCs w:val="18"/>
        </w:rPr>
        <w:sectPr>
          <w:footerReference r:id="rId7" w:type="default"/>
          <w:pgSz w:w="16839" w:h="11906"/>
          <w:pgMar w:top="1012" w:right="1509" w:bottom="1616" w:left="1508" w:header="0" w:footer="142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spacing w:line="77" w:lineRule="exact"/>
        <w:rPr>
          <w:rFonts w:hint="default" w:ascii="Times New Roman" w:hAnsi="Times New Roman" w:cs="Times New Roman"/>
          <w:sz w:val="18"/>
          <w:szCs w:val="18"/>
        </w:rPr>
      </w:pPr>
    </w:p>
    <w:tbl>
      <w:tblPr>
        <w:tblStyle w:val="5"/>
        <w:tblW w:w="13805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109"/>
        <w:gridCol w:w="1724"/>
        <w:gridCol w:w="3310"/>
        <w:gridCol w:w="4780"/>
        <w:gridCol w:w="168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36" w:hRule="atLeast"/>
        </w:trPr>
        <w:tc>
          <w:tcPr>
            <w:tcW w:w="1194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一级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（领域）</w:t>
            </w:r>
          </w:p>
        </w:tc>
        <w:tc>
          <w:tcPr>
            <w:tcW w:w="1109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（大类）</w:t>
            </w:r>
          </w:p>
        </w:tc>
        <w:tc>
          <w:tcPr>
            <w:tcW w:w="1724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三级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10"/>
                <w:sz w:val="18"/>
                <w:szCs w:val="18"/>
              </w:rPr>
              <w:t>（项目）</w:t>
            </w:r>
          </w:p>
        </w:tc>
        <w:tc>
          <w:tcPr>
            <w:tcW w:w="3310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标准内容</w:t>
            </w:r>
          </w:p>
        </w:tc>
        <w:tc>
          <w:tcPr>
            <w:tcW w:w="4780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问题描述</w:t>
            </w:r>
          </w:p>
        </w:tc>
        <w:tc>
          <w:tcPr>
            <w:tcW w:w="1688" w:type="dxa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牵头责任部门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194" w:type="dxa"/>
            <w:vMerge w:val="restart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乡村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治理标准化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乡村环境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卫生</w:t>
            </w: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18"/>
                <w:szCs w:val="18"/>
              </w:rPr>
              <w:t>焚烧农业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生产垃圾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452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无露天焚烧农业生产垃圾行为。</w:t>
            </w:r>
          </w:p>
        </w:tc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firstLine="414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3"/>
                <w:sz w:val="18"/>
                <w:szCs w:val="18"/>
              </w:rPr>
              <w:t>存在露天焚烧秸秆、农用薄膜等农业生产垃圾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现象。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115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乡生态办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115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河道污染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无漂浮杂物；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无腐草浮莲；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无河滩垃圾；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无其它污染。</w:t>
            </w:r>
          </w:p>
        </w:tc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 w:firstLine="1162" w:firstLineChars="7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1.河道有漂浮垃圾；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 w:firstLine="1176" w:firstLineChars="7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2.腐草浮莲污染水源；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 w:firstLine="1190" w:firstLineChars="7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3.河滩垃圾破坏河道生态环境。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firstLine="164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水利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站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firstLine="164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7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1" w:hRule="atLeast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7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乡村公共基础设施建设维护</w:t>
            </w: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公共基础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设施建设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61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“三有”：</w:t>
            </w:r>
            <w:r>
              <w:rPr>
                <w:rFonts w:hint="default" w:ascii="Times New Roman" w:hAnsi="Times New Roman" w:eastAsia="黑体" w:cs="Times New Roman"/>
                <w:spacing w:val="1"/>
                <w:sz w:val="18"/>
                <w:szCs w:val="18"/>
              </w:rPr>
              <w:t>有一中心（服务中心</w:t>
            </w:r>
            <w:r>
              <w:rPr>
                <w:rFonts w:hint="default" w:ascii="Times New Roman" w:hAnsi="Times New Roman" w:eastAsia="黑体" w:cs="Times New Roman"/>
                <w:spacing w:val="-61"/>
                <w:sz w:val="18"/>
                <w:szCs w:val="18"/>
              </w:rPr>
              <w:t>）；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61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1"/>
                <w:sz w:val="18"/>
                <w:szCs w:val="18"/>
              </w:rPr>
              <w:t>有一广场（文化广场</w:t>
            </w:r>
            <w:r>
              <w:rPr>
                <w:rFonts w:hint="default" w:ascii="Times New Roman" w:hAnsi="Times New Roman" w:eastAsia="黑体" w:cs="Times New Roman"/>
                <w:spacing w:val="-61"/>
                <w:sz w:val="18"/>
                <w:szCs w:val="18"/>
              </w:rPr>
              <w:t>）；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有一公厕。</w:t>
            </w:r>
          </w:p>
        </w:tc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未按相关要求设置公共基础设施。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218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乡生态办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218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文旅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站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264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1" w:hRule="atLeast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99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农房及农业生产用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房管理</w:t>
            </w: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农房建设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4" w:lineRule="auto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hanging="2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0"/>
                <w:w w:val="9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0"/>
                <w:w w:val="95"/>
                <w:sz w:val="18"/>
                <w:szCs w:val="18"/>
              </w:rPr>
              <w:t>农房工匠有培训、通用图集有编制；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hanging="2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0"/>
                <w:w w:val="9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0"/>
                <w:w w:val="95"/>
                <w:sz w:val="18"/>
                <w:szCs w:val="18"/>
              </w:rPr>
              <w:t>村庄建设依规划、农房占地依规则；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hanging="2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0"/>
                <w:w w:val="95"/>
                <w:sz w:val="18"/>
                <w:szCs w:val="18"/>
              </w:rPr>
              <w:t>外观风貌依图集、建筑体量不超限。</w:t>
            </w:r>
          </w:p>
        </w:tc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1218" w:firstLineChars="7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1.农村工匠培训与管理不到位；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1190" w:firstLineChars="7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2.未编制农村住房设计通用示范图集；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1190" w:firstLineChars="7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3.不按有关技术标准和操作规程施工；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1218" w:firstLineChars="7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4.存在违规用地建房；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1190" w:firstLineChars="7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5.存在“一户多宅”“建新不拆旧”现象；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1162" w:firstLineChars="7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6.建筑体量超限；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1162" w:firstLineChars="7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7.农房违规占地。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乡规划所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" w:hRule="atLeast"/>
        </w:trPr>
        <w:tc>
          <w:tcPr>
            <w:tcW w:w="1194" w:type="dxa"/>
            <w:vMerge w:val="continue"/>
            <w:tcBorders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0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4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农村危房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改造</w:t>
            </w:r>
          </w:p>
        </w:tc>
        <w:tc>
          <w:tcPr>
            <w:tcW w:w="3310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“五有”：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有管理制度、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有建房流程、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有信息录入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  <w:lang w:eastAsia="zh-CN"/>
              </w:rPr>
              <w:t>、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有责任人员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  <w:lang w:eastAsia="zh-CN"/>
              </w:rPr>
              <w:t>、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有验收规范；</w:t>
            </w:r>
          </w:p>
        </w:tc>
        <w:tc>
          <w:tcPr>
            <w:tcW w:w="4780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1302" w:firstLineChars="7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3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3"/>
                <w:sz w:val="18"/>
                <w:szCs w:val="18"/>
              </w:rPr>
              <w:t>“三不明确，两不到位”：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1302" w:firstLineChars="7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3"/>
                <w:sz w:val="18"/>
                <w:szCs w:val="18"/>
              </w:rPr>
              <w:t>对象身份认定不明</w:t>
            </w: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确、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1288" w:firstLineChars="7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改造范围不明确、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1288" w:firstLineChars="7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改造标准不明确、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1288" w:firstLineChars="7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补助资金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不到位、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1246" w:firstLineChars="7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质量安全监管不到位。</w:t>
            </w:r>
          </w:p>
        </w:tc>
        <w:tc>
          <w:tcPr>
            <w:tcW w:w="1688" w:type="dxa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firstLine="164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乡规划所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firstLine="164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7"/>
                <w:sz w:val="18"/>
                <w:szCs w:val="18"/>
                <w:lang w:eastAsia="zh-CN"/>
              </w:rPr>
              <w:t>各村（社区）</w:t>
            </w:r>
          </w:p>
        </w:tc>
      </w:tr>
    </w:tbl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  <w:sectPr>
          <w:footerReference r:id="rId8" w:type="default"/>
          <w:pgSz w:w="16839" w:h="11906"/>
          <w:pgMar w:top="1012" w:right="1509" w:bottom="1616" w:left="1508" w:header="0" w:footer="142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  <w:r>
        <w:rPr>
          <w:rFonts w:hint="default" w:ascii="Times New Roman" w:hAnsi="Times New Roman" w:cs="Times New Roman"/>
          <w:sz w:val="18"/>
          <w:szCs w:val="18"/>
        </w:rPr>
        <w:pict>
          <v:shape id="_x0000_s1032" o:spid="_x0000_s1032" o:spt="202" type="#_x0000_t202" style="position:absolute;left:0pt;margin-left:280.8pt;margin-top:488.6pt;height:25.65pt;width:63pt;mso-position-horizontal-relative:page;mso-position-vertical-relative:page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/>
              </w:txbxContent>
            </v:textbox>
          </v:shape>
        </w:pict>
      </w: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spacing w:line="77" w:lineRule="exact"/>
        <w:rPr>
          <w:rFonts w:hint="default" w:ascii="Times New Roman" w:hAnsi="Times New Roman" w:cs="Times New Roman"/>
          <w:sz w:val="18"/>
          <w:szCs w:val="18"/>
        </w:rPr>
      </w:pPr>
    </w:p>
    <w:tbl>
      <w:tblPr>
        <w:tblStyle w:val="5"/>
        <w:tblW w:w="13805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109"/>
        <w:gridCol w:w="1724"/>
        <w:gridCol w:w="3310"/>
        <w:gridCol w:w="4780"/>
        <w:gridCol w:w="168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194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3" w:line="240" w:lineRule="exact"/>
              <w:ind w:right="168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一级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3" w:line="240" w:lineRule="exact"/>
              <w:ind w:right="168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（领域）</w:t>
            </w:r>
          </w:p>
        </w:tc>
        <w:tc>
          <w:tcPr>
            <w:tcW w:w="1109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3" w:line="240" w:lineRule="exact"/>
              <w:ind w:right="129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3" w:line="240" w:lineRule="exact"/>
              <w:ind w:right="129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（大类）</w:t>
            </w:r>
          </w:p>
        </w:tc>
        <w:tc>
          <w:tcPr>
            <w:tcW w:w="1724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3" w:line="240" w:lineRule="exact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三级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3" w:line="240" w:lineRule="exact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10"/>
                <w:sz w:val="18"/>
                <w:szCs w:val="18"/>
              </w:rPr>
              <w:t>（项目）</w:t>
            </w:r>
          </w:p>
        </w:tc>
        <w:tc>
          <w:tcPr>
            <w:tcW w:w="3310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3" w:line="240" w:lineRule="exact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标准内容</w:t>
            </w:r>
          </w:p>
        </w:tc>
        <w:tc>
          <w:tcPr>
            <w:tcW w:w="4780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3" w:line="240" w:lineRule="exact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问题描述</w:t>
            </w:r>
          </w:p>
        </w:tc>
        <w:tc>
          <w:tcPr>
            <w:tcW w:w="1688" w:type="dxa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3" w:line="240" w:lineRule="exact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牵头责任部门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5" w:hRule="atLeast"/>
        </w:trPr>
        <w:tc>
          <w:tcPr>
            <w:tcW w:w="1194" w:type="dxa"/>
            <w:vMerge w:val="restart"/>
            <w:tcBorders>
              <w:left w:val="single" w:color="000000" w:sz="6" w:space="0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乡村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治理标准化</w:t>
            </w:r>
          </w:p>
        </w:tc>
        <w:tc>
          <w:tcPr>
            <w:tcW w:w="1109" w:type="dxa"/>
            <w:vAlign w:val="center"/>
          </w:tcPr>
          <w:p>
            <w:pPr>
              <w:spacing w:line="272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272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272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273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273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="68" w:line="211" w:lineRule="auto"/>
              <w:ind w:left="462" w:right="86" w:hanging="381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8"/>
                <w:sz w:val="18"/>
                <w:szCs w:val="18"/>
              </w:rPr>
              <w:t>乡风文</w:t>
            </w:r>
            <w:r>
              <w:rPr>
                <w:rFonts w:hint="default" w:ascii="Times New Roman" w:hAnsi="Times New Roman" w:eastAsia="黑体" w:cs="Times New Roman"/>
                <w:sz w:val="18"/>
                <w:szCs w:val="18"/>
              </w:rPr>
              <w:t>明</w:t>
            </w:r>
          </w:p>
        </w:tc>
        <w:tc>
          <w:tcPr>
            <w:tcW w:w="1724" w:type="dxa"/>
            <w:vAlign w:val="center"/>
          </w:tcPr>
          <w:p>
            <w:pPr>
              <w:spacing w:line="272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272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272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273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273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="68" w:line="211" w:lineRule="auto"/>
              <w:ind w:left="45" w:right="51" w:firstLine="3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8"/>
                <w:sz w:val="18"/>
                <w:szCs w:val="18"/>
              </w:rPr>
              <w:t>农村文明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创建与实践</w:t>
            </w:r>
          </w:p>
        </w:tc>
        <w:tc>
          <w:tcPr>
            <w:tcW w:w="3310" w:type="dxa"/>
            <w:vAlign w:val="center"/>
          </w:tcPr>
          <w:p>
            <w:pPr>
              <w:spacing w:line="243" w:lineRule="auto"/>
              <w:jc w:val="lef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="69" w:line="204" w:lineRule="auto"/>
              <w:ind w:firstLine="397" w:firstLineChars="221"/>
              <w:jc w:val="left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“五有一达标”：</w:t>
            </w:r>
          </w:p>
          <w:p>
            <w:pPr>
              <w:spacing w:before="7" w:line="211" w:lineRule="auto"/>
              <w:ind w:left="50" w:firstLine="427"/>
              <w:jc w:val="left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1.有“一约四会”：村规民约、</w:t>
            </w: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村民议事会、道德评议会、禁赌禁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毒会、红白理事会；</w:t>
            </w:r>
          </w:p>
          <w:p>
            <w:pPr>
              <w:spacing w:line="204" w:lineRule="auto"/>
              <w:ind w:firstLine="473"/>
              <w:jc w:val="left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2.有移风易俗工作体系；</w:t>
            </w:r>
          </w:p>
          <w:p>
            <w:pPr>
              <w:spacing w:before="7" w:line="204" w:lineRule="auto"/>
              <w:ind w:firstLine="473"/>
              <w:jc w:val="left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3.有新时代文明实践站；</w:t>
            </w:r>
          </w:p>
          <w:p>
            <w:pPr>
              <w:spacing w:before="8" w:line="204" w:lineRule="auto"/>
              <w:ind w:firstLine="471"/>
              <w:jc w:val="left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4.有志愿服务队；</w:t>
            </w:r>
          </w:p>
          <w:p>
            <w:pPr>
              <w:spacing w:before="7" w:line="211" w:lineRule="auto"/>
              <w:ind w:left="46" w:right="187" w:firstLine="426"/>
              <w:jc w:val="left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5.有“厚德同心积分银行”。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“一达标”；</w:t>
            </w: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文明村占比达50%以上。</w:t>
            </w:r>
          </w:p>
        </w:tc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211" w:lineRule="auto"/>
              <w:ind w:right="41" w:firstLine="328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1.“一约四会”机制不完善，没有常态化开展工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作；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firstLine="340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2.文明村数量、质量不达标；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" w:line="211" w:lineRule="auto"/>
              <w:ind w:right="41" w:firstLine="332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3.没有开展道德模范、身边好人、文明家庭、卫</w:t>
            </w: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生清洁户、好婆婆、好媳妇、创业能手、新时代好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少年等评选；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firstLine="348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4.有封建迷信、传销营销、黄赌毒等现象；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" w:line="211" w:lineRule="auto"/>
              <w:ind w:firstLine="340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5.有红白喜事铺张浪费现象，有高价彩礼现象，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有乱烧纸钱乱放烟花爆竹现象；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firstLine="336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6.有生态环保破坏现象；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" w:line="211" w:lineRule="auto"/>
              <w:ind w:right="43" w:firstLine="360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</w:rPr>
              <w:t>7.有家庭暴力现象，有虐待老人及未成年人现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象；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" w:line="210" w:lineRule="auto"/>
              <w:ind w:right="41" w:firstLine="364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1"/>
                <w:sz w:val="18"/>
                <w:szCs w:val="18"/>
              </w:rPr>
              <w:t>8.志愿服务队未及时在</w:t>
            </w:r>
            <w:r>
              <w:rPr>
                <w:rFonts w:hint="default" w:ascii="Times New Roman" w:hAnsi="Times New Roman" w:eastAsia="黑体" w:cs="Times New Roman"/>
                <w:spacing w:val="1"/>
                <w:sz w:val="18"/>
                <w:szCs w:val="18"/>
                <w:lang w:eastAsia="zh-CN"/>
              </w:rPr>
              <w:t>长安</w:t>
            </w:r>
            <w:r>
              <w:rPr>
                <w:rFonts w:hint="default" w:ascii="Times New Roman" w:hAnsi="Times New Roman" w:eastAsia="黑体" w:cs="Times New Roman"/>
                <w:spacing w:val="1"/>
                <w:sz w:val="18"/>
                <w:szCs w:val="18"/>
              </w:rPr>
              <w:t>群众APP注册，并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发布活动，志愿服务没有开展起来；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" w:line="210" w:lineRule="auto"/>
              <w:ind w:right="41" w:firstLine="332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9.村“厚德同心积分银行”没有挂牌运行，没有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及时登记群众积分；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207" w:lineRule="auto"/>
              <w:ind w:right="80" w:firstLine="340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10.新时代文明实践站没有达到“八有”标准，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没有常态化开展工作；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" w:line="204" w:lineRule="auto"/>
              <w:ind w:firstLine="320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18"/>
                <w:szCs w:val="18"/>
              </w:rPr>
              <w:t>11.庭院不整洁，杂物乱摆乱放，垃圾乱丢乱扔；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" w:line="204" w:lineRule="auto"/>
              <w:ind w:firstLine="344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12.家禽家畜养殖没有规范化管理。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" w:line="204" w:lineRule="auto"/>
              <w:ind w:firstLine="35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乡文明办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" w:line="204" w:lineRule="auto"/>
              <w:ind w:firstLine="35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民政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办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" w:line="204" w:lineRule="auto"/>
              <w:ind w:firstLine="35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乡学区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" w:line="211" w:lineRule="auto"/>
              <w:ind w:firstLine="32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团</w:t>
            </w: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委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" w:line="204" w:lineRule="auto"/>
              <w:ind w:firstLine="32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8" w:hRule="atLeast"/>
        </w:trPr>
        <w:tc>
          <w:tcPr>
            <w:tcW w:w="119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tcBorders>
              <w:bottom w:val="single" w:color="000000" w:sz="6" w:space="0"/>
            </w:tcBorders>
            <w:vAlign w:val="center"/>
          </w:tcPr>
          <w:p>
            <w:pPr>
              <w:spacing w:line="285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286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="69" w:line="211" w:lineRule="auto"/>
              <w:ind w:left="447" w:right="86" w:hanging="366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9"/>
                <w:sz w:val="18"/>
                <w:szCs w:val="18"/>
              </w:rPr>
              <w:t>村民自</w:t>
            </w:r>
            <w:r>
              <w:rPr>
                <w:rFonts w:hint="default" w:ascii="Times New Roman" w:hAnsi="Times New Roman" w:eastAsia="黑体" w:cs="Times New Roman"/>
                <w:sz w:val="18"/>
                <w:szCs w:val="18"/>
              </w:rPr>
              <w:t>治</w:t>
            </w:r>
          </w:p>
        </w:tc>
        <w:tc>
          <w:tcPr>
            <w:tcW w:w="1724" w:type="dxa"/>
            <w:tcBorders>
              <w:bottom w:val="single" w:color="000000" w:sz="6" w:space="0"/>
            </w:tcBorders>
            <w:vAlign w:val="center"/>
          </w:tcPr>
          <w:p>
            <w:pPr>
              <w:spacing w:line="285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286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="69" w:line="211" w:lineRule="auto"/>
              <w:ind w:left="648" w:right="140" w:hanging="51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村规民约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建设</w:t>
            </w:r>
          </w:p>
        </w:tc>
        <w:tc>
          <w:tcPr>
            <w:tcW w:w="3310" w:type="dxa"/>
            <w:tcBorders>
              <w:bottom w:val="single" w:color="000000" w:sz="6" w:space="0"/>
            </w:tcBorders>
            <w:vAlign w:val="center"/>
          </w:tcPr>
          <w:p>
            <w:pPr>
              <w:spacing w:line="246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246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="69" w:line="211" w:lineRule="auto"/>
              <w:ind w:left="49" w:right="109" w:firstLine="421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村规民约内容规范完善，“小公约守护大平安”基层治理行动扎实开展。</w:t>
            </w:r>
          </w:p>
        </w:tc>
        <w:tc>
          <w:tcPr>
            <w:tcW w:w="4780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firstLine="32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1.未按程序修订完善村规民约，将疫情防控、禁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毒、“反电诈”、防溺水教育等底线工作纳入村规民约范畴；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0" w:lineRule="auto"/>
              <w:ind w:right="0" w:firstLine="32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2.未采取“积分榜”“红黑榜”“光荣榜”“厚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德同心积分银行”等有效做法，扬先策后，推进新修订的村规民约落实落地；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0" w:lineRule="auto"/>
              <w:ind w:right="0" w:firstLine="30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7"/>
                <w:sz w:val="18"/>
                <w:szCs w:val="18"/>
              </w:rPr>
              <w:t>3.未按“试点先行、逐步推广”的原则，推进“小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公约守护大平安”基层治理行动在全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铺开。</w:t>
            </w:r>
          </w:p>
        </w:tc>
        <w:tc>
          <w:tcPr>
            <w:tcW w:w="1688" w:type="dxa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" w:line="204" w:lineRule="auto"/>
              <w:ind w:firstLine="35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乡文明办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" w:line="204" w:lineRule="auto"/>
              <w:ind w:firstLine="35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民政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办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" w:line="211" w:lineRule="auto"/>
              <w:ind w:right="310" w:firstLine="35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乡学区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" w:line="211" w:lineRule="auto"/>
              <w:ind w:right="310" w:firstLine="36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  <w:t>派出所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" w:line="204" w:lineRule="auto"/>
              <w:ind w:firstLine="32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</w:tbl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  <w:sectPr>
          <w:footerReference r:id="rId9" w:type="default"/>
          <w:pgSz w:w="16839" w:h="11906"/>
          <w:pgMar w:top="1012" w:right="1509" w:bottom="1616" w:left="1508" w:header="0" w:footer="142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spacing w:line="77" w:lineRule="exact"/>
        <w:rPr>
          <w:rFonts w:hint="default" w:ascii="Times New Roman" w:hAnsi="Times New Roman" w:cs="Times New Roman"/>
          <w:sz w:val="18"/>
          <w:szCs w:val="18"/>
        </w:rPr>
      </w:pPr>
    </w:p>
    <w:tbl>
      <w:tblPr>
        <w:tblStyle w:val="5"/>
        <w:tblW w:w="13805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109"/>
        <w:gridCol w:w="1724"/>
        <w:gridCol w:w="3310"/>
        <w:gridCol w:w="4780"/>
        <w:gridCol w:w="168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36" w:hRule="atLeast"/>
        </w:trPr>
        <w:tc>
          <w:tcPr>
            <w:tcW w:w="1194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一级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（领域）</w:t>
            </w:r>
          </w:p>
        </w:tc>
        <w:tc>
          <w:tcPr>
            <w:tcW w:w="1109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（大类）</w:t>
            </w:r>
          </w:p>
        </w:tc>
        <w:tc>
          <w:tcPr>
            <w:tcW w:w="1724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三级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10"/>
                <w:sz w:val="18"/>
                <w:szCs w:val="18"/>
              </w:rPr>
              <w:t>（项目）</w:t>
            </w:r>
          </w:p>
        </w:tc>
        <w:tc>
          <w:tcPr>
            <w:tcW w:w="3310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标准内容</w:t>
            </w:r>
          </w:p>
        </w:tc>
        <w:tc>
          <w:tcPr>
            <w:tcW w:w="4780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问题描述</w:t>
            </w:r>
          </w:p>
        </w:tc>
        <w:tc>
          <w:tcPr>
            <w:tcW w:w="1688" w:type="dxa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牵头责任部门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94" w:type="dxa"/>
            <w:vMerge w:val="restart"/>
            <w:tcBorders>
              <w:left w:val="single" w:color="000000" w:sz="6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乡村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治理标准化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2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其他</w:t>
            </w: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49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w w:val="92"/>
                <w:sz w:val="18"/>
                <w:szCs w:val="18"/>
              </w:rPr>
              <w:t>通组道路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471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路面干净平整、路边树草齐整。</w:t>
            </w:r>
          </w:p>
        </w:tc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473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路面、护坡破损，道路绿化带没有及时管护。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218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乡交管站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264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194" w:type="dxa"/>
            <w:vMerge w:val="continue"/>
            <w:tcBorders>
              <w:top w:val="nil"/>
              <w:left w:val="single" w:color="000000" w:sz="6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49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7"/>
                <w:sz w:val="18"/>
                <w:szCs w:val="18"/>
              </w:rPr>
              <w:t>违法用地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455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1"/>
                <w:sz w:val="18"/>
                <w:szCs w:val="18"/>
              </w:rPr>
              <w:t>乡村违法用地“零新增零容忍”。</w:t>
            </w:r>
          </w:p>
        </w:tc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47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存在乡村违法用地现象。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218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乡规划所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264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3" w:hRule="atLeast"/>
        </w:trPr>
        <w:tc>
          <w:tcPr>
            <w:tcW w:w="1194" w:type="dxa"/>
            <w:vMerge w:val="continue"/>
            <w:tcBorders>
              <w:top w:val="nil"/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破坏渔业</w:t>
            </w: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资源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469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禁渔区无捕鱼现象；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469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禁渔区外使用合法渔具。</w:t>
            </w:r>
          </w:p>
        </w:tc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 w:firstLine="32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1.使用炸鱼、毒鱼、电鱼等破坏渔业资源的方法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进行捕捞；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2.制造、销售、使用禁用渔具；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3.使用禁用钓具：划钓、一线多钩、多线多钩，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使用可视设备、浮水设施钓鱼。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264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乡生态办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264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6" w:hRule="atLeast"/>
        </w:trPr>
        <w:tc>
          <w:tcPr>
            <w:tcW w:w="1194" w:type="dxa"/>
            <w:vMerge w:val="restart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交通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治理标准化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道路交通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设施</w:t>
            </w: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8"/>
                <w:sz w:val="18"/>
                <w:szCs w:val="18"/>
              </w:rPr>
              <w:t>公共交通站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7" w:lineRule="auto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firstLine="42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分布科学、样式统一、文明服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务、卫生整洁、设施完好。</w:t>
            </w:r>
          </w:p>
        </w:tc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1.站亭设施损坏、倾斜、玻璃破损；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 w:firstLine="33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2.站亭卫生脏乱、灯箱内广告不整洁、灯箱外被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贴小广告纸；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3.站亭灯箱照明不良；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4.没有文明健康公益宣传。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7" w:lineRule="auto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乡交管站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乡执法队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5" w:hRule="atLeast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w w:val="92"/>
                <w:sz w:val="18"/>
                <w:szCs w:val="18"/>
              </w:rPr>
              <w:t>公共交通站牌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firstLine="2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站牌设置规范、干净整洁；信息详实准确、字迹清晰；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有文明乘车公益宣传。</w:t>
            </w:r>
          </w:p>
        </w:tc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1.站牌设施损坏、倾斜、玻璃破损；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firstLine="33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2.灯箱内线路导向图不整齐、灯箱外被贴小广告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纸，照明不良；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 w:firstLine="344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3.站牌卫生脏，锈蚀、倾斜、断裂；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 w:firstLine="344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4.站亭没有公益宣传，设施陈旧。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乡交管站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乡执法队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380" w:hRule="atLeast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5"/>
                <w:sz w:val="18"/>
                <w:szCs w:val="18"/>
              </w:rPr>
              <w:t>路名牌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标识清楚；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门牌指引；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牌体清洁；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字迹清晰。</w:t>
            </w:r>
          </w:p>
        </w:tc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1.缺损，立杆歪斜，遗留残桩；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 w:firstLine="33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2.字迹模糊，画面剥落，门牌号标注不准，指示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方向不准；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3.标识内容不规范。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民政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办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26" w:hRule="atLeast"/>
        </w:trPr>
        <w:tc>
          <w:tcPr>
            <w:tcW w:w="1194" w:type="dxa"/>
            <w:vMerge w:val="continue"/>
            <w:tcBorders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182" w:lineRule="auto"/>
              <w:ind w:right="0"/>
              <w:jc w:val="both"/>
              <w:textAlignment w:val="baseline"/>
              <w:rPr>
                <w:rFonts w:hint="eastAsia" w:ascii="Times New Roman" w:hAnsi="Times New Roman" w:eastAsia="黑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09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6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道路交通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设施</w:t>
            </w:r>
          </w:p>
        </w:tc>
        <w:tc>
          <w:tcPr>
            <w:tcW w:w="1724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8"/>
                <w:sz w:val="18"/>
                <w:szCs w:val="18"/>
              </w:rPr>
              <w:t>道路中心隔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离设施</w:t>
            </w:r>
          </w:p>
        </w:tc>
        <w:tc>
          <w:tcPr>
            <w:tcW w:w="3310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0"/>
                <w:sz w:val="18"/>
                <w:szCs w:val="18"/>
              </w:rPr>
              <w:t>结构完整、干净整洁、相对统一。</w:t>
            </w:r>
          </w:p>
        </w:tc>
        <w:tc>
          <w:tcPr>
            <w:tcW w:w="4780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设施被撞损坏、反光标老化。</w:t>
            </w:r>
          </w:p>
        </w:tc>
        <w:tc>
          <w:tcPr>
            <w:tcW w:w="1688" w:type="dxa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乡交管站</w:t>
            </w:r>
          </w:p>
        </w:tc>
      </w:tr>
    </w:tbl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  <w:sectPr>
          <w:footerReference r:id="rId10" w:type="default"/>
          <w:pgSz w:w="16839" w:h="11906"/>
          <w:pgMar w:top="1012" w:right="1509" w:bottom="1616" w:left="1508" w:header="0" w:footer="142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spacing w:line="77" w:lineRule="exact"/>
        <w:rPr>
          <w:rFonts w:hint="default" w:ascii="Times New Roman" w:hAnsi="Times New Roman" w:cs="Times New Roman"/>
          <w:sz w:val="18"/>
          <w:szCs w:val="18"/>
        </w:rPr>
      </w:pPr>
    </w:p>
    <w:tbl>
      <w:tblPr>
        <w:tblStyle w:val="5"/>
        <w:tblW w:w="1380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109"/>
        <w:gridCol w:w="1724"/>
        <w:gridCol w:w="3310"/>
        <w:gridCol w:w="4780"/>
        <w:gridCol w:w="168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35" w:hRule="atLeast"/>
        </w:trPr>
        <w:tc>
          <w:tcPr>
            <w:tcW w:w="11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一级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（领域）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（大类）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三级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10"/>
                <w:sz w:val="18"/>
                <w:szCs w:val="18"/>
              </w:rPr>
              <w:t>（项目）</w:t>
            </w:r>
          </w:p>
        </w:tc>
        <w:tc>
          <w:tcPr>
            <w:tcW w:w="33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标准内容</w:t>
            </w:r>
          </w:p>
        </w:tc>
        <w:tc>
          <w:tcPr>
            <w:tcW w:w="47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问题描述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牵头责任部门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119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69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交通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治理标准化</w:t>
            </w:r>
          </w:p>
        </w:tc>
        <w:tc>
          <w:tcPr>
            <w:tcW w:w="110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道路交通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设施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w w:val="92"/>
                <w:sz w:val="18"/>
                <w:szCs w:val="18"/>
              </w:rPr>
              <w:t>道路标志标牌</w:t>
            </w:r>
          </w:p>
        </w:tc>
        <w:tc>
          <w:tcPr>
            <w:tcW w:w="33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firstLine="423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干净、整洁、清晰、醒目、准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确。</w:t>
            </w:r>
          </w:p>
        </w:tc>
        <w:tc>
          <w:tcPr>
            <w:tcW w:w="47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firstLine="318" w:firstLineChars="204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10"/>
                <w:w w:val="98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8"/>
                <w:sz w:val="18"/>
                <w:szCs w:val="18"/>
              </w:rPr>
              <w:t>1.缺损、倾斜、锈蚀、遮挡、指示信息错误；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firstLine="318" w:firstLineChars="204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8"/>
                <w:sz w:val="18"/>
                <w:szCs w:val="18"/>
              </w:rPr>
              <w:t>2.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标志版面、字迹老化褪色、剥落、模糊。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乡交管站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11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18"/>
                <w:szCs w:val="18"/>
              </w:rPr>
              <w:t>道路破损、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塌陷</w:t>
            </w:r>
          </w:p>
        </w:tc>
        <w:tc>
          <w:tcPr>
            <w:tcW w:w="33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路面无坑洼、设施无损坏。</w:t>
            </w:r>
          </w:p>
        </w:tc>
        <w:tc>
          <w:tcPr>
            <w:tcW w:w="47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1.路面开裂、拥包、车辙；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 w:firstLine="33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2.路基沉降、翻浆，路面积水；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firstLine="33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3.排水井盖下沉、侧倾、缺失；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4.中分带、侧分带、侧平石倾斜、下沉、缺失。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  <w:lang w:eastAsia="zh-CN"/>
              </w:rPr>
              <w:t>乡执法队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乡交管站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2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173" w:hRule="atLeast"/>
        </w:trPr>
        <w:tc>
          <w:tcPr>
            <w:tcW w:w="11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路口秩序</w:t>
            </w:r>
          </w:p>
        </w:tc>
        <w:tc>
          <w:tcPr>
            <w:tcW w:w="33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46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“四无两有”：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 w:firstLine="23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无人车争道、无闯红黄灯；</w:t>
            </w:r>
            <w:r>
              <w:rPr>
                <w:rFonts w:hint="default" w:ascii="Times New Roman" w:hAnsi="Times New Roman" w:eastAsia="黑体" w:cs="Times New Roman"/>
                <w:spacing w:val="-20"/>
                <w:w w:val="98"/>
                <w:sz w:val="18"/>
                <w:szCs w:val="18"/>
              </w:rPr>
              <w:t>无路口乞讨、无车道内发广告片；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0" w:lineRule="auto"/>
              <w:ind w:left="0" w:leftChars="0" w:right="0" w:rightChars="0" w:firstLine="424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1"/>
                <w:sz w:val="18"/>
                <w:szCs w:val="18"/>
              </w:rPr>
              <w:t>电动自行车骑行有带安全帽，主</w:t>
            </w:r>
            <w:r>
              <w:rPr>
                <w:rFonts w:hint="default" w:ascii="Times New Roman" w:hAnsi="Times New Roman" w:eastAsia="黑体" w:cs="Times New Roman"/>
                <w:spacing w:val="-10"/>
                <w:sz w:val="18"/>
                <w:szCs w:val="18"/>
              </w:rPr>
              <w:t>要路口有执勤民警且着装规范统一。</w:t>
            </w:r>
          </w:p>
        </w:tc>
        <w:tc>
          <w:tcPr>
            <w:tcW w:w="47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1"/>
                <w:sz w:val="18"/>
                <w:szCs w:val="18"/>
              </w:rPr>
              <w:t>路口交通秩序混乱，没有交通劝导志愿服务，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志愿服务岗没有常态化值班值勤。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乡执法队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11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7"/>
                <w:sz w:val="18"/>
                <w:szCs w:val="18"/>
              </w:rPr>
              <w:t>非机动车停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放点</w:t>
            </w:r>
          </w:p>
        </w:tc>
        <w:tc>
          <w:tcPr>
            <w:tcW w:w="33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47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划线清晰，指向明确，停放整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leftChars="0" w:right="0" w:rightChars="0" w:hanging="11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3"/>
                <w:sz w:val="18"/>
                <w:szCs w:val="18"/>
              </w:rPr>
              <w:t>齐，不得占用机动车道、盲道、消</w:t>
            </w: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防通道。</w:t>
            </w:r>
          </w:p>
        </w:tc>
        <w:tc>
          <w:tcPr>
            <w:tcW w:w="47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1"/>
                <w:sz w:val="18"/>
                <w:szCs w:val="18"/>
              </w:rPr>
              <w:t>标线模糊、无明确指向标志、车辆倒地乱放、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占用机动车道、盲道、消防通道。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乡执法队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798" w:hRule="atLeast"/>
        </w:trPr>
        <w:tc>
          <w:tcPr>
            <w:tcW w:w="11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49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废弃车辆</w:t>
            </w:r>
          </w:p>
        </w:tc>
        <w:tc>
          <w:tcPr>
            <w:tcW w:w="33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469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无废弃车辆停放现象。</w:t>
            </w:r>
          </w:p>
        </w:tc>
        <w:tc>
          <w:tcPr>
            <w:tcW w:w="47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1"/>
                <w:sz w:val="18"/>
                <w:szCs w:val="18"/>
              </w:rPr>
              <w:t>路边、空地等停车地点长期搁置废弃（报废、</w:t>
            </w:r>
            <w:r>
              <w:rPr>
                <w:rFonts w:hint="default" w:ascii="Times New Roman" w:hAnsi="Times New Roman" w:eastAsia="黑体" w:cs="Times New Roman"/>
                <w:spacing w:val="-15"/>
                <w:sz w:val="18"/>
                <w:szCs w:val="18"/>
              </w:rPr>
              <w:t>无牌）等车辆。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交警大队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226" w:hRule="atLeast"/>
        </w:trPr>
        <w:tc>
          <w:tcPr>
            <w:tcW w:w="11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88" w:lineRule="auto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18"/>
                <w:szCs w:val="18"/>
              </w:rPr>
              <w:t>车辆停放</w:t>
            </w:r>
          </w:p>
        </w:tc>
        <w:tc>
          <w:tcPr>
            <w:tcW w:w="33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471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道路两侧依线停放；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469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公共空间有序停放；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right="0" w:firstLine="471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不占人行道、消防通道。</w:t>
            </w:r>
          </w:p>
        </w:tc>
        <w:tc>
          <w:tcPr>
            <w:tcW w:w="47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 w:firstLine="328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1.机动车违反规定停放、临时停车且驾驶人不在</w:t>
            </w: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现场或驾驶人虽在现场拒绝立即驶离，妨碍其它车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辆、行人通行的；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 w:firstLine="344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2.机动车违反禁令标志指示停车的；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 w:firstLine="344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3.机动车违反禁止标线指示停车的。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交警大队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乡执法队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572" w:hRule="atLeast"/>
        </w:trPr>
        <w:tc>
          <w:tcPr>
            <w:tcW w:w="11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应急（消</w:t>
            </w:r>
            <w:r>
              <w:rPr>
                <w:rFonts w:hint="default" w:ascii="Times New Roman" w:hAnsi="Times New Roman" w:eastAsia="黑体" w:cs="Times New Roman"/>
                <w:spacing w:val="-20"/>
                <w:w w:val="97"/>
                <w:sz w:val="18"/>
                <w:szCs w:val="18"/>
              </w:rPr>
              <w:t>防）通道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停车</w:t>
            </w:r>
          </w:p>
        </w:tc>
        <w:tc>
          <w:tcPr>
            <w:tcW w:w="33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leftChars="0" w:right="0" w:rightChars="0" w:firstLine="415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无占用应急（消防）通道停车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现象。</w:t>
            </w:r>
          </w:p>
        </w:tc>
        <w:tc>
          <w:tcPr>
            <w:tcW w:w="47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 w:firstLine="328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1.机动车不在规定停车区域停放，车辆停放占用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消防通道，妨碍消防设施使用；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0" w:lineRule="auto"/>
              <w:ind w:right="0" w:firstLine="340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2.消防通道上不得违规设置停车泊位、构筑物、</w:t>
            </w:r>
            <w:r>
              <w:rPr>
                <w:rFonts w:hint="default" w:ascii="Times New Roman" w:hAnsi="Times New Roman" w:eastAsia="黑体" w:cs="Times New Roman"/>
                <w:spacing w:val="1"/>
                <w:sz w:val="18"/>
                <w:szCs w:val="18"/>
              </w:rPr>
              <w:t>固定隔离桩等障碍物，消防车通道与建筑之间严禁设置妨碍消防车举高操作的树木、架空管线、广告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牌、装饰物等障碍物。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0" w:lineRule="auto"/>
              <w:ind w:right="0" w:rightChars="0" w:firstLine="332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3.流动商贩违规摆摊设点，占道经营，占用消防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车通道。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消防救援大队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交警大队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乡执法队</w:t>
            </w:r>
          </w:p>
        </w:tc>
      </w:tr>
    </w:tbl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spacing w:line="77" w:lineRule="exact"/>
        <w:rPr>
          <w:rFonts w:hint="default" w:ascii="Times New Roman" w:hAnsi="Times New Roman" w:cs="Times New Roman"/>
          <w:sz w:val="18"/>
          <w:szCs w:val="18"/>
        </w:rPr>
      </w:pPr>
    </w:p>
    <w:tbl>
      <w:tblPr>
        <w:tblStyle w:val="5"/>
        <w:tblW w:w="13805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109"/>
        <w:gridCol w:w="1724"/>
        <w:gridCol w:w="3310"/>
        <w:gridCol w:w="4780"/>
        <w:gridCol w:w="168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36" w:hRule="atLeast"/>
        </w:trPr>
        <w:tc>
          <w:tcPr>
            <w:tcW w:w="1194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一级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（领域）</w:t>
            </w:r>
          </w:p>
        </w:tc>
        <w:tc>
          <w:tcPr>
            <w:tcW w:w="1109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（大类）</w:t>
            </w:r>
          </w:p>
        </w:tc>
        <w:tc>
          <w:tcPr>
            <w:tcW w:w="1724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三级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10"/>
                <w:sz w:val="18"/>
                <w:szCs w:val="18"/>
              </w:rPr>
              <w:t>（项目）</w:t>
            </w:r>
          </w:p>
        </w:tc>
        <w:tc>
          <w:tcPr>
            <w:tcW w:w="3310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标准内容</w:t>
            </w:r>
          </w:p>
        </w:tc>
        <w:tc>
          <w:tcPr>
            <w:tcW w:w="4780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问题描述</w:t>
            </w:r>
          </w:p>
        </w:tc>
        <w:tc>
          <w:tcPr>
            <w:tcW w:w="1688" w:type="dxa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牵头责任部门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" w:hRule="atLeast"/>
        </w:trPr>
        <w:tc>
          <w:tcPr>
            <w:tcW w:w="1194" w:type="dxa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69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交通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治理标准化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道路交通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设施</w:t>
            </w: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5"/>
                <w:sz w:val="18"/>
                <w:szCs w:val="18"/>
                <w:lang w:eastAsia="zh-CN"/>
              </w:rPr>
              <w:t>招呼</w:t>
            </w:r>
            <w:r>
              <w:rPr>
                <w:rFonts w:hint="default" w:ascii="Times New Roman" w:hAnsi="Times New Roman" w:eastAsia="黑体" w:cs="Times New Roman"/>
                <w:spacing w:val="-10"/>
                <w:w w:val="95"/>
                <w:sz w:val="18"/>
                <w:szCs w:val="18"/>
              </w:rPr>
              <w:t>站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设施完好、卫生洁净、秩序井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然，无拉客、喊客、欺客。</w:t>
            </w:r>
          </w:p>
        </w:tc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1.场站内设备设施有破损，不能正常使用；2.环境卫生脏、差；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2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18"/>
                <w:szCs w:val="18"/>
              </w:rPr>
              <w:t>3.秩序乱；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4.有拉客、喊客、欺客现象；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5.没有志愿服务岗；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6.公益宣传不足。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hanging="211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交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管站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hanging="211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各村社区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1194" w:type="dxa"/>
            <w:vMerge w:val="restart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市场经营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69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治理标准化</w:t>
            </w:r>
          </w:p>
        </w:tc>
        <w:tc>
          <w:tcPr>
            <w:tcW w:w="1109" w:type="dxa"/>
            <w:vMerge w:val="restart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临街店面、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五小门店</w:t>
            </w:r>
            <w:r>
              <w:rPr>
                <w:rFonts w:hint="default" w:ascii="Times New Roman" w:hAnsi="Times New Roman" w:eastAsia="黑体" w:cs="Times New Roman"/>
                <w:spacing w:val="-11"/>
                <w:sz w:val="18"/>
                <w:szCs w:val="18"/>
              </w:rPr>
              <w:t>及其他管理</w:t>
            </w: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w w:val="89"/>
                <w:sz w:val="18"/>
                <w:szCs w:val="18"/>
              </w:rPr>
              <w:t>临街店铺招牌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一店一牌、样式协调、高度整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齐、不占道摆放、不占公共空间。</w:t>
            </w:r>
          </w:p>
        </w:tc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1.门店招牌没有实行“一店一牌”；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2.门店招牌破旧、残损，未及时拆除、更换；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3.门店外摆放流动招牌；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5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4.门头LED公益宣传量不足。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乡执法队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321" w:hRule="atLeast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4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9"/>
                <w:sz w:val="18"/>
                <w:szCs w:val="18"/>
              </w:rPr>
              <w:t>门前三包</w:t>
            </w:r>
          </w:p>
        </w:tc>
        <w:tc>
          <w:tcPr>
            <w:tcW w:w="331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46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“三包”：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包环境卫生；包市容秩序；包绿化和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政公用设施。</w:t>
            </w:r>
          </w:p>
        </w:tc>
        <w:tc>
          <w:tcPr>
            <w:tcW w:w="478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1.垃圾随意乱倒乱扔，污水随意乱泼乱倒乱排；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2.乱挂乱晒、乱搭乱建、乱涂乱写乱张贴，乱开</w:t>
            </w: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挖占破道路，乱停放车辆，乱发乱扔广告传单，使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用高音喇叭招揽顾客；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3.毁损公共绿地、花草树木，损坏公用设施。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乡执法队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4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跨门营业</w:t>
            </w:r>
          </w:p>
        </w:tc>
        <w:tc>
          <w:tcPr>
            <w:tcW w:w="331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leftChars="0" w:right="0" w:rightChars="0" w:firstLine="421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商品摆放不出门、桌凳杂物不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超檐。</w:t>
            </w:r>
          </w:p>
        </w:tc>
        <w:tc>
          <w:tcPr>
            <w:tcW w:w="478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1.超出店面摆放商品售卖；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2.占用人行道促销商品。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leftChars="0" w:right="0" w:rightChars="0" w:hanging="315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乡执法队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leftChars="0" w:right="0" w:rightChars="0" w:hanging="315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4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摊点经营</w:t>
            </w:r>
          </w:p>
        </w:tc>
        <w:tc>
          <w:tcPr>
            <w:tcW w:w="331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leftChars="0" w:right="0" w:rightChars="0" w:hanging="4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划线摆放、不堵塞交通；干净整洁、不影响市容。</w:t>
            </w:r>
          </w:p>
        </w:tc>
        <w:tc>
          <w:tcPr>
            <w:tcW w:w="478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2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1.摊点不在规定区域摆放，随意占用人行道，影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响行人正常通行和消防安全；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 w:firstLine="33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2.摊点随意乱扔垃圾杂物和乱倒污水，乱吊乱挂</w:t>
            </w: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乱搭设帐棚，使用喇叭或音响招揽顾客，损坏周边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公共设施和绿化花草树木。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218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乡执法队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264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194" w:type="dxa"/>
            <w:vMerge w:val="continue"/>
            <w:tcBorders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4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无证无照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经营</w:t>
            </w:r>
          </w:p>
        </w:tc>
        <w:tc>
          <w:tcPr>
            <w:tcW w:w="3310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leftChars="0" w:right="0" w:rightChars="0" w:firstLine="417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无无证无照经营和证照过期及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未悬挂证照经营现象。</w:t>
            </w:r>
          </w:p>
        </w:tc>
        <w:tc>
          <w:tcPr>
            <w:tcW w:w="4780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leftChars="0" w:right="0" w:rightChars="0" w:firstLine="416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3"/>
                <w:sz w:val="18"/>
                <w:szCs w:val="18"/>
              </w:rPr>
              <w:t>存在无证无照和证照过期及未悬挂证照经营现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象。</w:t>
            </w:r>
          </w:p>
        </w:tc>
        <w:tc>
          <w:tcPr>
            <w:tcW w:w="1688" w:type="dxa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218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市场监管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所</w:t>
            </w:r>
          </w:p>
        </w:tc>
      </w:tr>
    </w:tbl>
    <w:p>
      <w:pPr>
        <w:spacing w:line="254" w:lineRule="exact"/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  <w:sectPr>
          <w:footerReference r:id="rId11" w:type="default"/>
          <w:pgSz w:w="16839" w:h="11906"/>
          <w:pgMar w:top="1012" w:right="1509" w:bottom="1616" w:left="1508" w:header="0" w:footer="142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right="0" w:firstLine="360" w:firstLineChars="200"/>
        <w:jc w:val="center"/>
        <w:textAlignment w:val="baseline"/>
        <w:rPr>
          <w:rFonts w:hint="default" w:ascii="Times New Roman" w:hAnsi="Times New Roman" w:cs="Times New Roman"/>
          <w:sz w:val="18"/>
          <w:szCs w:val="1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right="0" w:firstLine="360" w:firstLineChars="200"/>
        <w:jc w:val="center"/>
        <w:textAlignment w:val="baseline"/>
        <w:rPr>
          <w:rFonts w:hint="default" w:ascii="Times New Roman" w:hAnsi="Times New Roman" w:cs="Times New Roman"/>
          <w:sz w:val="18"/>
          <w:szCs w:val="1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7" w:lineRule="exact"/>
        <w:ind w:left="0" w:right="0" w:firstLine="360" w:firstLineChars="200"/>
        <w:jc w:val="center"/>
        <w:textAlignment w:val="baseline"/>
        <w:rPr>
          <w:rFonts w:hint="default" w:ascii="Times New Roman" w:hAnsi="Times New Roman" w:cs="Times New Roman"/>
          <w:sz w:val="18"/>
          <w:szCs w:val="18"/>
        </w:rPr>
      </w:pPr>
    </w:p>
    <w:tbl>
      <w:tblPr>
        <w:tblStyle w:val="5"/>
        <w:tblW w:w="13805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109"/>
        <w:gridCol w:w="1724"/>
        <w:gridCol w:w="3310"/>
        <w:gridCol w:w="4780"/>
        <w:gridCol w:w="168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36" w:hRule="atLeast"/>
        </w:trPr>
        <w:tc>
          <w:tcPr>
            <w:tcW w:w="1194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一级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（领域）</w:t>
            </w:r>
          </w:p>
        </w:tc>
        <w:tc>
          <w:tcPr>
            <w:tcW w:w="1109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（大类）</w:t>
            </w:r>
          </w:p>
        </w:tc>
        <w:tc>
          <w:tcPr>
            <w:tcW w:w="1724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40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三级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400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10"/>
                <w:sz w:val="18"/>
                <w:szCs w:val="18"/>
              </w:rPr>
              <w:t>（项目）</w:t>
            </w:r>
          </w:p>
        </w:tc>
        <w:tc>
          <w:tcPr>
            <w:tcW w:w="3310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标准内容</w:t>
            </w:r>
          </w:p>
        </w:tc>
        <w:tc>
          <w:tcPr>
            <w:tcW w:w="4780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36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问题描述</w:t>
            </w:r>
          </w:p>
        </w:tc>
        <w:tc>
          <w:tcPr>
            <w:tcW w:w="1688" w:type="dxa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52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牵头责任部门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194" w:type="dxa"/>
            <w:vMerge w:val="restart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市场经营治理标准化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临街店面、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五小门店</w:t>
            </w:r>
            <w:r>
              <w:rPr>
                <w:rFonts w:hint="default" w:ascii="Times New Roman" w:hAnsi="Times New Roman" w:eastAsia="黑体" w:cs="Times New Roman"/>
                <w:spacing w:val="-11"/>
                <w:sz w:val="18"/>
                <w:szCs w:val="18"/>
              </w:rPr>
              <w:t>及其他管理</w:t>
            </w: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跨门营业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76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商品摆放不出门、桌凳杂物不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超檐。</w:t>
            </w:r>
          </w:p>
        </w:tc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1.超出店面摆放商品售卖；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2.占用人行道促销商品。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52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乡执法队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28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60" w:firstLineChars="20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60" w:firstLineChars="20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摊点经营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44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划线摆放、不堵塞交通；干净整洁、不影响市容。</w:t>
            </w:r>
          </w:p>
        </w:tc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2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1.摊点不在规定区域摆放，随意占用人行道，影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响行人正常通行和消防安全；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2.摊点随意乱扔垃圾杂物和乱倒污水，乱吊乱挂</w:t>
            </w: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乱搭设帐棚，使用喇叭或音响招揽顾客，损坏周边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公共设施和绿化花草树木。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乡执法队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28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60" w:firstLineChars="20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60" w:firstLineChars="20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无证无照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经营</w:t>
            </w:r>
          </w:p>
        </w:tc>
        <w:tc>
          <w:tcPr>
            <w:tcW w:w="3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76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无无证无照经营和证照过期及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未悬挂证照经营现象。</w:t>
            </w:r>
          </w:p>
        </w:tc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3"/>
                <w:sz w:val="18"/>
                <w:szCs w:val="18"/>
              </w:rPr>
              <w:t>存在无证无照和证照过期及未悬挂证照经营现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象。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60" w:firstLineChars="20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52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市场监管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8" w:hRule="atLeast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60" w:firstLineChars="20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1"/>
                <w:sz w:val="18"/>
                <w:szCs w:val="18"/>
              </w:rPr>
              <w:t>农贸市场</w:t>
            </w:r>
          </w:p>
        </w:tc>
        <w:tc>
          <w:tcPr>
            <w:tcW w:w="1724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8"/>
                <w:sz w:val="18"/>
                <w:szCs w:val="18"/>
              </w:rPr>
              <w:t>农贸市场摊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担位</w:t>
            </w:r>
          </w:p>
        </w:tc>
        <w:tc>
          <w:tcPr>
            <w:tcW w:w="331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68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高标准室内市场按“三分”、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“四无”标准执行。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76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“三分”：</w:t>
            </w: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生熟食分区、瓜果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蔬菜分区、肉蔬分区；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72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3"/>
                <w:sz w:val="18"/>
                <w:szCs w:val="18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“四无”：</w:t>
            </w:r>
            <w:r>
              <w:rPr>
                <w:rFonts w:hint="default" w:ascii="Times New Roman" w:hAnsi="Times New Roman" w:eastAsia="黑体" w:cs="Times New Roman"/>
                <w:spacing w:val="3"/>
                <w:sz w:val="18"/>
                <w:szCs w:val="18"/>
              </w:rPr>
              <w:t>无积水、无污渍、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无废弃物、无异味。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72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3"/>
                <w:sz w:val="18"/>
                <w:szCs w:val="18"/>
              </w:rPr>
              <w:t>室外市场及临时摊担区按“二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分”、“二无”标准执行。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76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“二分”：</w:t>
            </w: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生熟分离、肉蔬分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离；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76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“二无”：</w:t>
            </w: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无积水、无大型裸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露垃圾</w:t>
            </w:r>
          </w:p>
        </w:tc>
        <w:tc>
          <w:tcPr>
            <w:tcW w:w="478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1.摊担未按要求分区；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2.市场卫生状况不达标；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3.未设立出入口通道标识。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市场监管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所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60" w:firstLineChars="20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leftChars="0" w:right="0" w:rightChars="0" w:firstLine="360" w:firstLineChars="20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4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活禽摊区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管理</w:t>
            </w:r>
          </w:p>
        </w:tc>
        <w:tc>
          <w:tcPr>
            <w:tcW w:w="331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存栏、宰杀、售卖“三隔离”，</w:t>
            </w: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门店摊位卫生整洁、销售宰杀区域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休市消毒。</w:t>
            </w:r>
          </w:p>
        </w:tc>
        <w:tc>
          <w:tcPr>
            <w:tcW w:w="478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1.活禽摊位三隔离未符合要求；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2.摊担卫生处理不及时；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leftChars="0" w:right="0" w:rightChars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3.未落实休市消毒要求。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市场监管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所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执法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194" w:type="dxa"/>
            <w:vMerge w:val="continue"/>
            <w:tcBorders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60" w:firstLineChars="20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广告牌设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置管理</w:t>
            </w:r>
          </w:p>
        </w:tc>
        <w:tc>
          <w:tcPr>
            <w:tcW w:w="1724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户外广告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设施设置</w:t>
            </w:r>
          </w:p>
        </w:tc>
        <w:tc>
          <w:tcPr>
            <w:tcW w:w="3310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无违规设置、无安全隐患、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无残缺破损。</w:t>
            </w:r>
          </w:p>
        </w:tc>
        <w:tc>
          <w:tcPr>
            <w:tcW w:w="4780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 w:firstLine="336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1.未经审批擅自设置，影响市容市貌；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 w:firstLine="332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2.年久失修，存在安全隐患；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 w:firstLine="356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3.无公益广告，公益广告占比未达到30%。</w:t>
            </w:r>
          </w:p>
        </w:tc>
        <w:tc>
          <w:tcPr>
            <w:tcW w:w="1688" w:type="dxa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执法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队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right="0" w:firstLine="360" w:firstLineChars="200"/>
        <w:jc w:val="center"/>
        <w:textAlignment w:val="baseline"/>
        <w:rPr>
          <w:rFonts w:hint="default" w:ascii="Times New Roman" w:hAnsi="Times New Roman" w:cs="Times New Roman"/>
          <w:sz w:val="18"/>
          <w:szCs w:val="1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right="0" w:firstLine="360" w:firstLineChars="200"/>
        <w:jc w:val="center"/>
        <w:textAlignment w:val="baseline"/>
        <w:rPr>
          <w:rFonts w:hint="default" w:ascii="Times New Roman" w:hAnsi="Times New Roman" w:cs="Times New Roman"/>
          <w:sz w:val="18"/>
          <w:szCs w:val="18"/>
        </w:rPr>
        <w:sectPr>
          <w:footerReference r:id="rId12" w:type="default"/>
          <w:pgSz w:w="16839" w:h="11906"/>
          <w:pgMar w:top="1012" w:right="1509" w:bottom="1616" w:left="1508" w:header="0" w:footer="142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right="0" w:firstLine="360" w:firstLineChars="200"/>
        <w:jc w:val="center"/>
        <w:textAlignment w:val="baseline"/>
        <w:rPr>
          <w:rFonts w:hint="default" w:ascii="Times New Roman" w:hAnsi="Times New Roman" w:cs="Times New Roman"/>
          <w:sz w:val="18"/>
          <w:szCs w:val="1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right="0" w:firstLine="360" w:firstLineChars="200"/>
        <w:jc w:val="center"/>
        <w:textAlignment w:val="baseline"/>
        <w:rPr>
          <w:rFonts w:hint="default" w:ascii="Times New Roman" w:hAnsi="Times New Roman" w:cs="Times New Roman"/>
          <w:sz w:val="18"/>
          <w:szCs w:val="1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right="0" w:firstLine="360" w:firstLineChars="200"/>
        <w:jc w:val="center"/>
        <w:textAlignment w:val="baseline"/>
        <w:rPr>
          <w:rFonts w:hint="default" w:ascii="Times New Roman" w:hAnsi="Times New Roman" w:cs="Times New Roman"/>
          <w:sz w:val="18"/>
          <w:szCs w:val="1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7" w:lineRule="exact"/>
        <w:ind w:left="0" w:right="0" w:firstLine="360" w:firstLineChars="200"/>
        <w:jc w:val="center"/>
        <w:textAlignment w:val="baseline"/>
        <w:rPr>
          <w:rFonts w:hint="default" w:ascii="Times New Roman" w:hAnsi="Times New Roman" w:cs="Times New Roman"/>
          <w:sz w:val="18"/>
          <w:szCs w:val="18"/>
        </w:rPr>
      </w:pPr>
    </w:p>
    <w:tbl>
      <w:tblPr>
        <w:tblStyle w:val="5"/>
        <w:tblW w:w="1380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109"/>
        <w:gridCol w:w="1724"/>
        <w:gridCol w:w="3310"/>
        <w:gridCol w:w="4780"/>
        <w:gridCol w:w="168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35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一级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（领域）</w:t>
            </w:r>
          </w:p>
        </w:tc>
        <w:tc>
          <w:tcPr>
            <w:tcW w:w="1109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（大类）</w:t>
            </w:r>
          </w:p>
        </w:tc>
        <w:tc>
          <w:tcPr>
            <w:tcW w:w="1724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40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三级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leftChars="0" w:right="0" w:rightChars="0" w:firstLine="400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10"/>
                <w:sz w:val="18"/>
                <w:szCs w:val="18"/>
              </w:rPr>
              <w:t>（项目）</w:t>
            </w:r>
          </w:p>
        </w:tc>
        <w:tc>
          <w:tcPr>
            <w:tcW w:w="3310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标准内容</w:t>
            </w:r>
          </w:p>
        </w:tc>
        <w:tc>
          <w:tcPr>
            <w:tcW w:w="4780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leftChars="0" w:right="0" w:rightChars="0" w:firstLine="336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问题描述</w:t>
            </w:r>
          </w:p>
        </w:tc>
        <w:tc>
          <w:tcPr>
            <w:tcW w:w="1688" w:type="dxa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牵头责任部门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jc w:val="center"/>
        </w:trPr>
        <w:tc>
          <w:tcPr>
            <w:tcW w:w="1194" w:type="dxa"/>
            <w:vMerge w:val="restart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公共安全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治理标准化</w:t>
            </w:r>
          </w:p>
        </w:tc>
        <w:tc>
          <w:tcPr>
            <w:tcW w:w="11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社会治安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管理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both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4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城市快警</w:t>
            </w:r>
            <w:r>
              <w:rPr>
                <w:rFonts w:hint="default" w:ascii="Times New Roman" w:hAnsi="Times New Roman" w:eastAsia="黑体" w:cs="Times New Roman"/>
                <w:spacing w:val="3"/>
                <w:sz w:val="18"/>
                <w:szCs w:val="18"/>
              </w:rPr>
              <w:t>平台</w:t>
            </w:r>
          </w:p>
        </w:tc>
        <w:tc>
          <w:tcPr>
            <w:tcW w:w="331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28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车辆外观统一、警具着装统一、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执勤制度统一。</w:t>
            </w:r>
          </w:p>
        </w:tc>
        <w:tc>
          <w:tcPr>
            <w:tcW w:w="478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72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3"/>
                <w:sz w:val="18"/>
                <w:szCs w:val="18"/>
              </w:rPr>
              <w:t>存在车辆外观、警务标志和警具着装不统一的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现象。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派出所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jc w:val="center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52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44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</w:p>
        </w:tc>
        <w:tc>
          <w:tcPr>
            <w:tcW w:w="1724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8"/>
                <w:sz w:val="18"/>
                <w:szCs w:val="18"/>
              </w:rPr>
              <w:t>社区警务及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机动警务备</w:t>
            </w:r>
            <w:r>
              <w:rPr>
                <w:rFonts w:hint="default" w:ascii="Times New Roman" w:hAnsi="Times New Roman" w:eastAsia="黑体" w:cs="Times New Roman"/>
                <w:sz w:val="18"/>
                <w:szCs w:val="18"/>
              </w:rPr>
              <w:t>勤</w:t>
            </w:r>
          </w:p>
        </w:tc>
        <w:tc>
          <w:tcPr>
            <w:tcW w:w="331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60" w:firstLineChars="20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leftChars="0" w:right="0" w:rightChars="0" w:firstLine="364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1"/>
                <w:sz w:val="18"/>
                <w:szCs w:val="18"/>
              </w:rPr>
              <w:t>警务室外观统一，设施齐备，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人员配备齐整。</w:t>
            </w:r>
          </w:p>
        </w:tc>
        <w:tc>
          <w:tcPr>
            <w:tcW w:w="478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8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1.社区未设立社区警务室；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2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2.社区警务室外观破旧，未按公安部标准，设置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外观标识，周围环境脏乱差；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2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3.社区警务室内部办公设备、必要警用装备不齐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全，工作制度不健全；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4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4.社区民警、辅警未配备到位。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派出所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856" w:hRule="atLeast"/>
          <w:jc w:val="center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4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9"/>
                <w:sz w:val="18"/>
                <w:szCs w:val="18"/>
              </w:rPr>
              <w:t>街面“黄赌</w:t>
            </w:r>
            <w:r>
              <w:rPr>
                <w:rFonts w:hint="default" w:ascii="Times New Roman" w:hAnsi="Times New Roman" w:eastAsia="黑体" w:cs="Times New Roman"/>
                <w:spacing w:val="21"/>
                <w:w w:val="113"/>
                <w:sz w:val="18"/>
                <w:szCs w:val="18"/>
              </w:rPr>
              <w:t>毒”</w:t>
            </w:r>
          </w:p>
        </w:tc>
        <w:tc>
          <w:tcPr>
            <w:tcW w:w="331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无“黄赌毒”现象。</w:t>
            </w:r>
          </w:p>
        </w:tc>
        <w:tc>
          <w:tcPr>
            <w:tcW w:w="478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28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1.在街面公共区域进行打牌赌博、电游赌博、站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街拉客、吸食毒品等违法活动；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 w:firstLine="332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2.在临街门面内组织打牌赌博、电游赌博、容留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卖淫、吸食毒品等违法活动。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派出所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80" w:hRule="exact"/>
          <w:jc w:val="center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52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44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</w:p>
        </w:tc>
        <w:tc>
          <w:tcPr>
            <w:tcW w:w="1724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18"/>
                <w:szCs w:val="18"/>
              </w:rPr>
              <w:t>打架斗殴</w:t>
            </w:r>
          </w:p>
        </w:tc>
        <w:tc>
          <w:tcPr>
            <w:tcW w:w="331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无“打架斗殴”现象。</w:t>
            </w:r>
          </w:p>
        </w:tc>
        <w:tc>
          <w:tcPr>
            <w:tcW w:w="478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在街面发生拳脚、持械等打架斗殴行为。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派出所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80" w:hRule="exact"/>
          <w:jc w:val="center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52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44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</w:p>
        </w:tc>
        <w:tc>
          <w:tcPr>
            <w:tcW w:w="1724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非法宣传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煽动</w:t>
            </w:r>
          </w:p>
        </w:tc>
        <w:tc>
          <w:tcPr>
            <w:tcW w:w="331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无非法宣传煽动现象。</w:t>
            </w:r>
          </w:p>
        </w:tc>
        <w:tc>
          <w:tcPr>
            <w:tcW w:w="478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在非访场所举牌、打横幅、扰乱治安秩序。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派出所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80" w:hRule="exact"/>
          <w:jc w:val="center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52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44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</w:p>
        </w:tc>
        <w:tc>
          <w:tcPr>
            <w:tcW w:w="1724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人员非正</w:t>
            </w: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常聚集</w:t>
            </w:r>
          </w:p>
        </w:tc>
        <w:tc>
          <w:tcPr>
            <w:tcW w:w="331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无人员非正常聚集现象。</w:t>
            </w:r>
          </w:p>
        </w:tc>
        <w:tc>
          <w:tcPr>
            <w:tcW w:w="478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10人以上非法聚集。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派出所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80" w:hRule="exact"/>
          <w:jc w:val="center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52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</w:pPr>
          </w:p>
        </w:tc>
        <w:tc>
          <w:tcPr>
            <w:tcW w:w="110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44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</w:p>
        </w:tc>
        <w:tc>
          <w:tcPr>
            <w:tcW w:w="1724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强讨恶要</w:t>
            </w:r>
          </w:p>
        </w:tc>
        <w:tc>
          <w:tcPr>
            <w:tcW w:w="331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无强讨恶要现象。</w:t>
            </w:r>
          </w:p>
        </w:tc>
        <w:tc>
          <w:tcPr>
            <w:tcW w:w="478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强讨恶要发生纠纷。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派出所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80" w:hRule="exact"/>
          <w:jc w:val="center"/>
        </w:trPr>
        <w:tc>
          <w:tcPr>
            <w:tcW w:w="1194" w:type="dxa"/>
            <w:vMerge w:val="continue"/>
            <w:tcBorders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52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</w:pPr>
          </w:p>
        </w:tc>
        <w:tc>
          <w:tcPr>
            <w:tcW w:w="1109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道路交通安全管理</w:t>
            </w:r>
          </w:p>
        </w:tc>
        <w:tc>
          <w:tcPr>
            <w:tcW w:w="1724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道路交通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安全事故</w:t>
            </w:r>
          </w:p>
        </w:tc>
        <w:tc>
          <w:tcPr>
            <w:tcW w:w="331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无重特大道路交通事故。</w:t>
            </w:r>
          </w:p>
        </w:tc>
        <w:tc>
          <w:tcPr>
            <w:tcW w:w="4780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人为或因管理不到位造成交通事故。</w:t>
            </w:r>
          </w:p>
        </w:tc>
        <w:tc>
          <w:tcPr>
            <w:tcW w:w="1688" w:type="dxa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交管站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856" w:hRule="atLeast"/>
          <w:jc w:val="center"/>
        </w:trPr>
        <w:tc>
          <w:tcPr>
            <w:tcW w:w="1194" w:type="dxa"/>
            <w:vMerge w:val="continue"/>
            <w:tcBorders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52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</w:pPr>
          </w:p>
        </w:tc>
        <w:tc>
          <w:tcPr>
            <w:tcW w:w="1109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防灾减灾应急管理</w:t>
            </w:r>
          </w:p>
        </w:tc>
        <w:tc>
          <w:tcPr>
            <w:tcW w:w="1724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8"/>
                <w:sz w:val="18"/>
                <w:szCs w:val="18"/>
              </w:rPr>
              <w:t>消防栓和灭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火器</w:t>
            </w:r>
          </w:p>
        </w:tc>
        <w:tc>
          <w:tcPr>
            <w:tcW w:w="3310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设备完好、标识清晰（分色管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理</w:t>
            </w:r>
            <w:r>
              <w:rPr>
                <w:rFonts w:hint="default" w:ascii="Times New Roman" w:hAnsi="Times New Roman" w:eastAsia="黑体" w:cs="Times New Roman"/>
                <w:spacing w:val="-48"/>
                <w:sz w:val="18"/>
                <w:szCs w:val="18"/>
              </w:rPr>
              <w:t>），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无缺损、无漏水、无他用。</w:t>
            </w:r>
          </w:p>
        </w:tc>
        <w:tc>
          <w:tcPr>
            <w:tcW w:w="4780" w:type="dxa"/>
            <w:tcBorders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1.设备设施缺损、锈蚀；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2.消火栓漏水；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3.违章使用。</w:t>
            </w:r>
          </w:p>
        </w:tc>
        <w:tc>
          <w:tcPr>
            <w:tcW w:w="1688" w:type="dxa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应急管理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站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right="0"/>
        <w:jc w:val="both"/>
        <w:textAlignment w:val="baseline"/>
        <w:rPr>
          <w:rFonts w:hint="default" w:ascii="Times New Roman" w:hAnsi="Times New Roman" w:cs="Times New Roman"/>
          <w:sz w:val="18"/>
          <w:szCs w:val="18"/>
        </w:rPr>
        <w:sectPr>
          <w:footerReference r:id="rId13" w:type="default"/>
          <w:pgSz w:w="16839" w:h="11906"/>
          <w:pgMar w:top="1012" w:right="1509" w:bottom="1616" w:left="1508" w:header="0" w:footer="142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right="0" w:firstLine="360" w:firstLineChars="200"/>
        <w:jc w:val="center"/>
        <w:textAlignment w:val="baseline"/>
        <w:rPr>
          <w:rFonts w:hint="default" w:ascii="Times New Roman" w:hAnsi="Times New Roman" w:cs="Times New Roman"/>
          <w:sz w:val="18"/>
          <w:szCs w:val="1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right="0" w:firstLine="360" w:firstLineChars="200"/>
        <w:jc w:val="center"/>
        <w:textAlignment w:val="baseline"/>
        <w:rPr>
          <w:rFonts w:hint="default" w:ascii="Times New Roman" w:hAnsi="Times New Roman" w:cs="Times New Roman"/>
          <w:sz w:val="18"/>
          <w:szCs w:val="1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right="0" w:firstLine="360" w:firstLineChars="200"/>
        <w:jc w:val="center"/>
        <w:textAlignment w:val="baseline"/>
        <w:rPr>
          <w:rFonts w:hint="default" w:ascii="Times New Roman" w:hAnsi="Times New Roman" w:cs="Times New Roman"/>
          <w:sz w:val="18"/>
          <w:szCs w:val="1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7" w:lineRule="exact"/>
        <w:ind w:left="0" w:right="0" w:firstLine="360" w:firstLineChars="200"/>
        <w:jc w:val="center"/>
        <w:textAlignment w:val="baseline"/>
        <w:rPr>
          <w:rFonts w:hint="default" w:ascii="Times New Roman" w:hAnsi="Times New Roman" w:cs="Times New Roman"/>
          <w:sz w:val="18"/>
          <w:szCs w:val="18"/>
        </w:rPr>
      </w:pPr>
    </w:p>
    <w:tbl>
      <w:tblPr>
        <w:tblStyle w:val="5"/>
        <w:tblW w:w="1380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109"/>
        <w:gridCol w:w="1724"/>
        <w:gridCol w:w="3310"/>
        <w:gridCol w:w="4780"/>
        <w:gridCol w:w="168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35" w:hRule="atLeast"/>
        </w:trPr>
        <w:tc>
          <w:tcPr>
            <w:tcW w:w="11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一级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（领域）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（大类）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40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三级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leftChars="0" w:right="0" w:rightChars="0" w:firstLine="400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10"/>
                <w:sz w:val="18"/>
                <w:szCs w:val="18"/>
              </w:rPr>
              <w:t>（项目）</w:t>
            </w:r>
          </w:p>
        </w:tc>
        <w:tc>
          <w:tcPr>
            <w:tcW w:w="33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标准内容</w:t>
            </w:r>
          </w:p>
        </w:tc>
        <w:tc>
          <w:tcPr>
            <w:tcW w:w="47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leftChars="0" w:right="0" w:rightChars="0" w:firstLine="336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问题描述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牵头责任部门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9" w:hRule="atLeast"/>
        </w:trPr>
        <w:tc>
          <w:tcPr>
            <w:tcW w:w="119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公共安全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治理标准化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防灾减灾应急管理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公共场所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消防安全</w:t>
            </w: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隐患</w:t>
            </w:r>
          </w:p>
        </w:tc>
        <w:tc>
          <w:tcPr>
            <w:tcW w:w="33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无公共场所消防安全隐患。</w:t>
            </w:r>
          </w:p>
        </w:tc>
        <w:tc>
          <w:tcPr>
            <w:tcW w:w="47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2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1.消防车道、安全出口及疏散通道存在占用、堵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塞、封闭等情况；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2.建筑消防设施、消防器材未保持完好有效，室</w:t>
            </w: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内出现消火栓水带、水枪缺失、栓口、阀门有锈蚀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等现象；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3.消防设施、器材无检查、维护、保养记录；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4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4.消防控制室值班制度未落实；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5.社会单位未落实消防安全培训、演练主体责任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情况。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应急管理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站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60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</w:trPr>
        <w:tc>
          <w:tcPr>
            <w:tcW w:w="11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60" w:firstLineChars="20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防溺水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管理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学生防溺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水管理</w:t>
            </w:r>
          </w:p>
        </w:tc>
        <w:tc>
          <w:tcPr>
            <w:tcW w:w="33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无学生溺水事故发生。</w:t>
            </w:r>
          </w:p>
        </w:tc>
        <w:tc>
          <w:tcPr>
            <w:tcW w:w="47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1.家、校防溺水宣传不到位；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2.水域警示牌不到位；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4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3.重点水域救生设施放置不到位；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3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18"/>
                <w:szCs w:val="18"/>
              </w:rPr>
              <w:t>4.巡逻、盯守不到位。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学区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各村（社区）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atLeast"/>
        </w:trPr>
        <w:tc>
          <w:tcPr>
            <w:tcW w:w="11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60" w:firstLineChars="20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7"/>
                <w:sz w:val="18"/>
                <w:szCs w:val="18"/>
              </w:rPr>
              <w:t>校车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管理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校车购置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校车驾驶校车停放校车保养</w:t>
            </w:r>
          </w:p>
        </w:tc>
        <w:tc>
          <w:tcPr>
            <w:tcW w:w="33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60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“四个严格”：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56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校车购置务必严格达到出厂合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格标准；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56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校车驾驶员要严格通过专项培训、严禁超载驾驶；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56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校车停放严格规范，随时提醒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过往车辆；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56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校车保养要严格操作。</w:t>
            </w:r>
          </w:p>
        </w:tc>
        <w:tc>
          <w:tcPr>
            <w:tcW w:w="47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2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1.校车购置未严格把控质量；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2.校车司机未严格进行岗前培训、有超载现象；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16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10"/>
                <w:w w:val="99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9"/>
                <w:sz w:val="18"/>
                <w:szCs w:val="18"/>
              </w:rPr>
              <w:t>3.有乱停放现象；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4.校车保养未严格按规定进行。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学区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交管站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8" w:hRule="atLeast"/>
        </w:trPr>
        <w:tc>
          <w:tcPr>
            <w:tcW w:w="119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60" w:firstLineChars="20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9"/>
                <w:sz w:val="18"/>
                <w:szCs w:val="18"/>
              </w:rPr>
              <w:t>学校周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边管理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学校周边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环境</w:t>
            </w:r>
          </w:p>
        </w:tc>
        <w:tc>
          <w:tcPr>
            <w:tcW w:w="33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60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“五有”：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68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2"/>
                <w:sz w:val="18"/>
                <w:szCs w:val="18"/>
              </w:rPr>
              <w:t>有交通标志、有防疫设施、有</w:t>
            </w:r>
            <w:r>
              <w:rPr>
                <w:rFonts w:hint="default" w:ascii="Times New Roman" w:hAnsi="Times New Roman" w:eastAsia="黑体" w:cs="Times New Roman"/>
                <w:spacing w:val="1"/>
                <w:sz w:val="18"/>
                <w:szCs w:val="18"/>
              </w:rPr>
              <w:t>消防通道、有社会主义核心价值观</w:t>
            </w: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宣传外墙、有志愿者上学放学值班。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60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“三无”：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56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校门口无摆摊设点；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right="0" w:firstLine="328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学校200米内无网吧、游戏厅、</w:t>
            </w:r>
            <w:r>
              <w:rPr>
                <w:rFonts w:hint="default" w:ascii="Times New Roman" w:hAnsi="Times New Roman" w:eastAsia="黑体" w:cs="Times New Roman"/>
                <w:spacing w:val="-3"/>
                <w:sz w:val="18"/>
                <w:szCs w:val="18"/>
              </w:rPr>
              <w:t>歌厅、舞厅、牌馆等娱乐场所；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left="0" w:leftChars="0" w:right="0" w:rightChars="0" w:firstLine="376" w:firstLineChars="200"/>
              <w:jc w:val="left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4"/>
                <w:sz w:val="18"/>
                <w:szCs w:val="18"/>
              </w:rPr>
              <w:t>周边无恐怖、迷信、色情等非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法玩具、出版物售卖。</w:t>
            </w:r>
          </w:p>
        </w:tc>
        <w:tc>
          <w:tcPr>
            <w:tcW w:w="47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1.无交通标志指导学校门口交通；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2.门卫不负责，没有防疫设施；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3.未设置或者占用消防通道；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4.校门50米内没有社会主义核心价值观宣传；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5.上学、放学秩序混乱，没有志愿者值班；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6.学校周边有牌馆、歌厅等娱乐设施；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 w:rightChars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7.校门口有移动式小摊小贩。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学区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派出所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执法队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文旅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578" w:hRule="atLeast"/>
        </w:trPr>
        <w:tc>
          <w:tcPr>
            <w:tcW w:w="119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公共安全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治理标准化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9"/>
                <w:sz w:val="18"/>
                <w:szCs w:val="18"/>
              </w:rPr>
              <w:t>重点公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共安全管</w:t>
            </w:r>
            <w:r>
              <w:rPr>
                <w:rFonts w:hint="default" w:ascii="Times New Roman" w:hAnsi="Times New Roman" w:eastAsia="黑体" w:cs="Times New Roman"/>
                <w:sz w:val="18"/>
                <w:szCs w:val="18"/>
              </w:rPr>
              <w:t>理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9"/>
                <w:sz w:val="18"/>
                <w:szCs w:val="18"/>
              </w:rPr>
              <w:t>重点人员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重点行业重点场所重点环节精细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管理</w:t>
            </w:r>
          </w:p>
        </w:tc>
        <w:tc>
          <w:tcPr>
            <w:tcW w:w="33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 w:firstLine="36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</w:rPr>
              <w:t>对辖区重点人员、重点行业、</w:t>
            </w: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重点场所、重点环节进行精准摸排，</w:t>
            </w:r>
            <w:r>
              <w:rPr>
                <w:rFonts w:hint="default" w:ascii="Times New Roman" w:hAnsi="Times New Roman" w:eastAsia="黑体" w:cs="Times New Roman"/>
                <w:spacing w:val="-1"/>
                <w:sz w:val="18"/>
                <w:szCs w:val="18"/>
              </w:rPr>
              <w:t>及时、科学、准确、分类落实管控措施，做到底数清、情况明、台账细、数据准、措施实、效果好，确保不发生政治安全事件，不发生重大群体性事件、不发生个人极端事件和恶性案事件，不发生重大公共安全事件和安全生产事件，不发生重大网络舆情事件。</w:t>
            </w:r>
          </w:p>
        </w:tc>
        <w:tc>
          <w:tcPr>
            <w:tcW w:w="47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 w:firstLine="340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18"/>
                <w:szCs w:val="18"/>
              </w:rPr>
              <w:t>1.重点人员底数不清、情况不明；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right="0" w:firstLine="328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8"/>
                <w:sz w:val="18"/>
                <w:szCs w:val="18"/>
              </w:rPr>
              <w:t>2.肇事肇祸精神障碍患者鉴定、收治、救助不及时；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 w:firstLine="33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7"/>
                <w:sz w:val="18"/>
                <w:szCs w:val="18"/>
              </w:rPr>
              <w:t>3.重点人员包保措施不到位，网格化、精细化管</w:t>
            </w: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理责任不明确，存在脱管漏管现象；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 w:firstLine="312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-10"/>
                <w:w w:val="98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w w:val="98"/>
                <w:sz w:val="18"/>
                <w:szCs w:val="18"/>
              </w:rPr>
              <w:t>4.重点行业、重点领域、重点场所风险隐患较多；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 w:firstLine="344" w:firstLineChars="200"/>
              <w:jc w:val="both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18"/>
                <w:szCs w:val="18"/>
              </w:rPr>
              <w:t>5.多方联动、快速处置的机制不够健全完善。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9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政法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办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9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司法所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9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信访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办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乡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</w:rPr>
              <w:t>应急管理</w:t>
            </w:r>
            <w:r>
              <w:rPr>
                <w:rFonts w:hint="default" w:ascii="Times New Roman" w:hAnsi="Times New Roman" w:eastAsia="黑体" w:cs="Times New Roman"/>
                <w:spacing w:val="-2"/>
                <w:sz w:val="18"/>
                <w:szCs w:val="18"/>
                <w:lang w:eastAsia="zh-CN"/>
              </w:rPr>
              <w:t>办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4" w:lineRule="auto"/>
              <w:ind w:left="0" w:leftChars="0" w:right="0" w:rightChars="0" w:firstLine="360" w:firstLineChars="200"/>
              <w:jc w:val="center"/>
              <w:textAlignment w:val="baseline"/>
              <w:rPr>
                <w:rFonts w:hint="default" w:ascii="Times New Roman" w:hAnsi="Times New Roman" w:eastAsia="黑体" w:cs="Times New Roman"/>
                <w:snapToGrid w:val="0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right="0" w:firstLine="360" w:firstLineChars="200"/>
        <w:jc w:val="both"/>
        <w:textAlignment w:val="baseline"/>
        <w:rPr>
          <w:rFonts w:hint="default" w:ascii="Times New Roman" w:hAnsi="Times New Roman" w:cs="Times New Roman"/>
          <w:sz w:val="18"/>
          <w:szCs w:val="18"/>
        </w:rPr>
        <w:sectPr>
          <w:footerReference r:id="rId14" w:type="default"/>
          <w:pgSz w:w="16839" w:h="11906"/>
          <w:pgMar w:top="1012" w:right="1509" w:bottom="1616" w:left="1508" w:header="0" w:footer="142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line="251" w:lineRule="auto"/>
        <w:rPr>
          <w:rFonts w:hint="default" w:ascii="Times New Roman" w:hAnsi="Times New Roman" w:cs="Times New Roman"/>
          <w:sz w:val="21"/>
        </w:rPr>
      </w:pPr>
    </w:p>
    <w:sectPr>
      <w:footerReference r:id="rId15" w:type="default"/>
      <w:pgSz w:w="16839" w:h="11906" w:orient="landscape"/>
      <w:pgMar w:top="1574" w:right="1431" w:bottom="1441" w:left="400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2" w:lineRule="exact"/>
      <w:ind w:firstLine="7879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position w:val="-4"/>
        <w:sz w:val="28"/>
        <w:szCs w:val="28"/>
      </w:rPr>
      <w:t>—7—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5" w:lineRule="exact"/>
      <w:ind w:firstLine="212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2"/>
        <w:position w:val="-4"/>
        <w:sz w:val="28"/>
        <w:szCs w:val="28"/>
      </w:rPr>
      <w:t>—8—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5" w:lineRule="exact"/>
      <w:ind w:firstLine="1253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position w:val="-4"/>
        <w:sz w:val="28"/>
        <w:szCs w:val="28"/>
      </w:rPr>
      <w:t>—23—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2" w:lineRule="exact"/>
      <w:ind w:firstLine="30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position w:val="-4"/>
        <w:sz w:val="28"/>
        <w:szCs w:val="28"/>
      </w:rPr>
      <w:t>—24—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5" w:lineRule="exact"/>
      <w:ind w:firstLine="1253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position w:val="-4"/>
        <w:sz w:val="28"/>
        <w:szCs w:val="28"/>
      </w:rPr>
      <w:t>—25—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5" w:lineRule="exact"/>
      <w:ind w:firstLine="30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position w:val="-4"/>
        <w:sz w:val="28"/>
        <w:szCs w:val="28"/>
      </w:rPr>
      <w:t>—26—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5" w:lineRule="exact"/>
      <w:ind w:firstLine="30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1"/>
        <w:position w:val="-4"/>
        <w:sz w:val="28"/>
        <w:szCs w:val="28"/>
      </w:rPr>
      <w:t>—30—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5" w:lineRule="exact"/>
      <w:ind w:firstLine="1253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1"/>
        <w:position w:val="-4"/>
        <w:sz w:val="28"/>
        <w:szCs w:val="28"/>
      </w:rPr>
      <w:t>—31—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5" w:lineRule="exact"/>
      <w:ind w:firstLine="1253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1"/>
        <w:position w:val="-4"/>
        <w:sz w:val="28"/>
        <w:szCs w:val="28"/>
      </w:rPr>
      <w:t>—33—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5" w:lineRule="exact"/>
      <w:ind w:firstLine="303"/>
      <w:rPr>
        <w:rFonts w:ascii="Times New Roman" w:hAnsi="Times New Roman" w:eastAsia="Times New Roman" w:cs="Times New Roman"/>
        <w:sz w:val="28"/>
        <w:szCs w:val="28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Microsoft JhengHei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3152EE1"/>
    <w:rsid w:val="07990616"/>
    <w:rsid w:val="11460B8C"/>
    <w:rsid w:val="114B2952"/>
    <w:rsid w:val="16695657"/>
    <w:rsid w:val="1E1D6A09"/>
    <w:rsid w:val="20F108A0"/>
    <w:rsid w:val="24DC16EA"/>
    <w:rsid w:val="25390C79"/>
    <w:rsid w:val="2D1C7470"/>
    <w:rsid w:val="30C774F4"/>
    <w:rsid w:val="337D0D8A"/>
    <w:rsid w:val="34862EA5"/>
    <w:rsid w:val="35290F0F"/>
    <w:rsid w:val="3FAE3F57"/>
    <w:rsid w:val="45F12DF0"/>
    <w:rsid w:val="46DE7803"/>
    <w:rsid w:val="475573AE"/>
    <w:rsid w:val="4F951F53"/>
    <w:rsid w:val="50FC53AF"/>
    <w:rsid w:val="523B24FE"/>
    <w:rsid w:val="5FFE039A"/>
    <w:rsid w:val="63FA782F"/>
    <w:rsid w:val="65362E9F"/>
    <w:rsid w:val="65BB5345"/>
    <w:rsid w:val="718A6DC9"/>
    <w:rsid w:val="765060EB"/>
    <w:rsid w:val="77B92EBE"/>
    <w:rsid w:val="7BFB04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4.png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image" Target="media/image2.png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Office_11.1.0.11365_F1E327BC-269C-435d-A152-05C5408002CA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2022-01-18T17:51:00Z</dcterms:created>
  <dc:creator>Administrator</dc:creator>
  <cp:lastModifiedBy>亚杰</cp:lastModifiedBy>
  <dcterms:modified xsi:type="dcterms:W3CDTF">2022-02-21T08:41:07Z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2022-02-21T08:56:02Z</vt:filetime>
  </property>
  <property fmtid="{D5CDD505-2E9C-101B-9397-08002B2CF9AE}" pid="4" name="KSOProductBuildVer">
    <vt:lpwstr>2052-11.1.0.11365</vt:lpwstr>
  </property>
  <property fmtid="{D5CDD505-2E9C-101B-9397-08002B2CF9AE}" pid="5" name="ICV">
    <vt:lpwstr>CC2F31EE12E2427A9D7DCE0CED94F7FB</vt:lpwstr>
  </property>
</Properties>
</file>